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A95C2FD" w:rsidR="00E90E49" w:rsidRPr="00CE0424" w:rsidRDefault="00E90E49" w:rsidP="00F10D9A">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w:t>
      </w:r>
      <w:r w:rsidR="001515A2">
        <w:t>21</w:t>
      </w:r>
      <w:r w:rsidRPr="00CE0424">
        <w:tab/>
      </w:r>
      <w:r w:rsidR="0097730C" w:rsidRPr="0097730C">
        <w:rPr>
          <w:sz w:val="32"/>
          <w:szCs w:val="32"/>
        </w:rPr>
        <w:t>R1-2504612</w:t>
      </w:r>
    </w:p>
    <w:p w14:paraId="0CE7B7E6" w14:textId="686D4063" w:rsidR="00E90E49" w:rsidRPr="00CE0424" w:rsidRDefault="001C4CD9" w:rsidP="00F10D9A">
      <w:pPr>
        <w:pStyle w:val="3GPPHeader"/>
      </w:pPr>
      <w:r>
        <w:t>St. Julian’s</w:t>
      </w:r>
      <w:r w:rsidRPr="004462D1">
        <w:t>, Malta, May 19</w:t>
      </w:r>
      <w:r w:rsidRPr="004462D1">
        <w:rPr>
          <w:vertAlign w:val="superscript"/>
        </w:rPr>
        <w:t>th</w:t>
      </w:r>
      <w:r w:rsidRPr="004462D1">
        <w:t xml:space="preserve"> – 23</w:t>
      </w:r>
      <w:r w:rsidRPr="004462D1">
        <w:rPr>
          <w:vertAlign w:val="superscript"/>
        </w:rPr>
        <w:t>rd</w:t>
      </w:r>
      <w:r w:rsidRPr="004462D1">
        <w:t xml:space="preserve"> 2025</w:t>
      </w:r>
    </w:p>
    <w:p w14:paraId="3086AC07" w14:textId="77777777" w:rsidR="00E90E49" w:rsidRPr="00CE0424" w:rsidRDefault="00E90E49" w:rsidP="00F10D9A">
      <w:pPr>
        <w:pStyle w:val="3GPPHeader"/>
      </w:pPr>
    </w:p>
    <w:p w14:paraId="3982483C" w14:textId="6B590359" w:rsidR="00E90E49" w:rsidRPr="001C4CD9" w:rsidRDefault="00E90E49" w:rsidP="00F10D9A">
      <w:pPr>
        <w:pStyle w:val="3GPPHeader"/>
        <w:rPr>
          <w:sz w:val="22"/>
        </w:rPr>
      </w:pPr>
      <w:r w:rsidRPr="001C4CD9">
        <w:rPr>
          <w:sz w:val="22"/>
        </w:rPr>
        <w:t>Agenda Item:</w:t>
      </w:r>
      <w:r w:rsidRPr="001C4CD9">
        <w:rPr>
          <w:sz w:val="22"/>
        </w:rPr>
        <w:tab/>
      </w:r>
      <w:r w:rsidR="00FB3F0F" w:rsidRPr="00AE552A">
        <w:rPr>
          <w:sz w:val="22"/>
        </w:rPr>
        <w:t>5</w:t>
      </w:r>
    </w:p>
    <w:p w14:paraId="5619E868" w14:textId="77777777" w:rsidR="00E90E49" w:rsidRPr="00CE0424" w:rsidRDefault="003D3C45" w:rsidP="00F10D9A">
      <w:pPr>
        <w:pStyle w:val="3GPPHeader"/>
        <w:rPr>
          <w:sz w:val="22"/>
        </w:rPr>
      </w:pPr>
      <w:r>
        <w:rPr>
          <w:sz w:val="22"/>
        </w:rPr>
        <w:t>Source:</w:t>
      </w:r>
      <w:r w:rsidR="00E90E49" w:rsidRPr="00CE0424">
        <w:rPr>
          <w:sz w:val="22"/>
        </w:rPr>
        <w:tab/>
      </w:r>
      <w:r w:rsidR="00F64C2B" w:rsidRPr="00CE0424">
        <w:rPr>
          <w:sz w:val="22"/>
        </w:rPr>
        <w:t>Ericsson</w:t>
      </w:r>
    </w:p>
    <w:p w14:paraId="3AF5C9FA" w14:textId="7A94740F" w:rsidR="00E90E49" w:rsidRPr="0005487C" w:rsidRDefault="003D3C45" w:rsidP="00F10D9A">
      <w:pPr>
        <w:pStyle w:val="3GPPHeader"/>
        <w:rPr>
          <w:sz w:val="22"/>
          <w:lang w:val="en-GB"/>
        </w:rPr>
      </w:pPr>
      <w:r>
        <w:rPr>
          <w:sz w:val="22"/>
        </w:rPr>
        <w:t>Title:</w:t>
      </w:r>
      <w:r w:rsidR="00E90E49" w:rsidRPr="00CE0424">
        <w:rPr>
          <w:sz w:val="22"/>
        </w:rPr>
        <w:tab/>
      </w:r>
      <w:r w:rsidR="0005487C">
        <w:rPr>
          <w:sz w:val="22"/>
        </w:rPr>
        <w:t xml:space="preserve">On RAN4 </w:t>
      </w:r>
      <w:r w:rsidR="0005487C" w:rsidRPr="0005487C">
        <w:rPr>
          <w:bCs/>
          <w:sz w:val="22"/>
          <w:lang w:val="en-GB"/>
        </w:rPr>
        <w:t>LS on the transient period for SBFD operation</w:t>
      </w:r>
    </w:p>
    <w:p w14:paraId="025260C1" w14:textId="77777777" w:rsidR="00E90E49" w:rsidRPr="00CE0424" w:rsidRDefault="00E90E49" w:rsidP="00F10D9A">
      <w:pPr>
        <w:pStyle w:val="3GPPHeader"/>
        <w:rPr>
          <w:sz w:val="22"/>
        </w:rPr>
      </w:pPr>
      <w:r w:rsidRPr="00CE0424">
        <w:rPr>
          <w:sz w:val="22"/>
        </w:rPr>
        <w:t>Document for:</w:t>
      </w:r>
      <w:r w:rsidRPr="00CE0424">
        <w:rPr>
          <w:sz w:val="22"/>
        </w:rPr>
        <w:tab/>
      </w:r>
      <w:r w:rsidRPr="001C4CD9">
        <w:rPr>
          <w:sz w:val="22"/>
        </w:rPr>
        <w:t>Discussion, Decision</w:t>
      </w:r>
    </w:p>
    <w:p w14:paraId="2D5672ED" w14:textId="77777777" w:rsidR="00E90E49" w:rsidRPr="00CE0424" w:rsidRDefault="00E90E49" w:rsidP="00F10D9A">
      <w:pPr>
        <w:jc w:val="both"/>
      </w:pPr>
    </w:p>
    <w:p w14:paraId="6883CB62" w14:textId="33436E6E" w:rsidR="00E90E49" w:rsidRPr="00CE0424" w:rsidRDefault="00E90E49" w:rsidP="00F10D9A">
      <w:pPr>
        <w:pStyle w:val="Heading1"/>
        <w:jc w:val="both"/>
      </w:pPr>
      <w:r w:rsidRPr="00CE0424">
        <w:t>Introduction</w:t>
      </w:r>
    </w:p>
    <w:p w14:paraId="231E64EA" w14:textId="21781C08" w:rsidR="00477768" w:rsidRDefault="00FB3F0F" w:rsidP="00F10D9A">
      <w:pPr>
        <w:pStyle w:val="BodyText"/>
      </w:pPr>
      <w:r>
        <w:t>RAN</w:t>
      </w:r>
      <w:r w:rsidR="0005487C">
        <w:t>4</w:t>
      </w:r>
      <w:r>
        <w:t xml:space="preserve"> sent the following LS to RAN1</w:t>
      </w:r>
      <w:r w:rsidR="00250638">
        <w:t xml:space="preserve">, wherein </w:t>
      </w:r>
      <w:r w:rsidR="00AE4A6F">
        <w:t xml:space="preserve">we have particularly highlighted </w:t>
      </w:r>
      <w:r w:rsidR="00250638">
        <w:t>Case B</w:t>
      </w:r>
      <w:r w:rsidR="00A8789A">
        <w:t xml:space="preserve"> </w:t>
      </w:r>
      <w:r w:rsidR="00A8789A">
        <w:fldChar w:fldCharType="begin"/>
      </w:r>
      <w:r w:rsidR="00A8789A">
        <w:instrText xml:space="preserve"> REF _Ref174151459 \n \h </w:instrText>
      </w:r>
      <w:r w:rsidR="00F10D9A">
        <w:instrText xml:space="preserve"> \* MERGEFORMAT </w:instrText>
      </w:r>
      <w:r w:rsidR="00A8789A">
        <w:fldChar w:fldCharType="separate"/>
      </w:r>
      <w:r w:rsidR="00CE1823">
        <w:t>[1]</w:t>
      </w:r>
      <w:r w:rsidR="00A8789A">
        <w:fldChar w:fldCharType="end"/>
      </w:r>
      <w:r>
        <w:t>:</w:t>
      </w:r>
    </w:p>
    <w:tbl>
      <w:tblPr>
        <w:tblStyle w:val="TableGrid"/>
        <w:tblW w:w="0" w:type="auto"/>
        <w:tblLook w:val="04A0" w:firstRow="1" w:lastRow="0" w:firstColumn="1" w:lastColumn="0" w:noHBand="0" w:noVBand="1"/>
      </w:tblPr>
      <w:tblGrid>
        <w:gridCol w:w="9629"/>
      </w:tblGrid>
      <w:tr w:rsidR="00FB3F0F" w14:paraId="23501D52" w14:textId="77777777" w:rsidTr="00FB3F0F">
        <w:tc>
          <w:tcPr>
            <w:tcW w:w="9629" w:type="dxa"/>
          </w:tcPr>
          <w:p w14:paraId="13556675" w14:textId="382B0612" w:rsidR="0005487C" w:rsidRPr="0005487C" w:rsidRDefault="0005487C" w:rsidP="00F10D9A">
            <w:pPr>
              <w:ind w:left="360"/>
              <w:jc w:val="both"/>
              <w:rPr>
                <w:lang w:val="en-GB" w:eastAsia="zh-CN"/>
              </w:rPr>
            </w:pPr>
            <w:r w:rsidRPr="0005487C">
              <w:rPr>
                <w:noProof/>
                <w:lang w:val="en-GB" w:eastAsia="zh-CN"/>
              </w:rPr>
              <w:drawing>
                <wp:inline distT="0" distB="0" distL="0" distR="0" wp14:anchorId="76D638FE" wp14:editId="3AE9D8B2">
                  <wp:extent cx="3629025" cy="1819275"/>
                  <wp:effectExtent l="0" t="0" r="9525" b="0"/>
                  <wp:docPr id="2036239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9025" cy="1819275"/>
                          </a:xfrm>
                          <a:prstGeom prst="rect">
                            <a:avLst/>
                          </a:prstGeom>
                          <a:noFill/>
                          <a:ln>
                            <a:noFill/>
                          </a:ln>
                        </pic:spPr>
                      </pic:pic>
                    </a:graphicData>
                  </a:graphic>
                </wp:inline>
              </w:drawing>
            </w:r>
          </w:p>
          <w:p w14:paraId="4E48457C" w14:textId="77777777" w:rsidR="0005487C" w:rsidRPr="0005487C" w:rsidRDefault="0005487C" w:rsidP="00F10D9A">
            <w:pPr>
              <w:ind w:left="360"/>
              <w:jc w:val="both"/>
              <w:rPr>
                <w:b/>
                <w:lang w:val="x-none" w:eastAsia="zh-CN"/>
              </w:rPr>
            </w:pPr>
            <w:r w:rsidRPr="0005487C">
              <w:rPr>
                <w:b/>
                <w:lang w:val="x-none" w:eastAsia="zh-CN"/>
              </w:rPr>
              <w:t>Figure 1: Illustration of four cases of transitions to/from SBFD symbols</w:t>
            </w:r>
          </w:p>
          <w:p w14:paraId="63F1D120" w14:textId="77777777" w:rsidR="0005487C" w:rsidRPr="0005487C" w:rsidRDefault="0005487C" w:rsidP="00F10D9A">
            <w:pPr>
              <w:jc w:val="both"/>
              <w:rPr>
                <w:rFonts w:ascii="Times" w:eastAsia="Batang" w:hAnsi="Times" w:cs="Times New Roman"/>
                <w:b/>
                <w:bCs/>
                <w:color w:val="000000" w:themeColor="text1"/>
                <w:sz w:val="20"/>
                <w:szCs w:val="18"/>
                <w:lang w:val="en-GB"/>
              </w:rPr>
            </w:pPr>
            <w:r w:rsidRPr="0005487C">
              <w:rPr>
                <w:rFonts w:ascii="Times" w:eastAsia="Batang" w:hAnsi="Times" w:cs="Times New Roman"/>
                <w:b/>
                <w:bCs/>
                <w:color w:val="000000" w:themeColor="text1"/>
                <w:sz w:val="20"/>
                <w:szCs w:val="18"/>
                <w:highlight w:val="green"/>
                <w:lang w:val="en-GB"/>
              </w:rPr>
              <w:t>Agreement:</w:t>
            </w:r>
          </w:p>
          <w:p w14:paraId="4EF0B6BB" w14:textId="77777777" w:rsidR="0005487C" w:rsidRPr="0005487C" w:rsidRDefault="0005487C" w:rsidP="00F10D9A">
            <w:pPr>
              <w:numPr>
                <w:ilvl w:val="0"/>
                <w:numId w:val="30"/>
              </w:numPr>
              <w:jc w:val="both"/>
              <w:rPr>
                <w:rFonts w:ascii="Times" w:eastAsia="Batang" w:hAnsi="Times" w:cs="Times New Roman"/>
                <w:color w:val="000000" w:themeColor="text1"/>
                <w:sz w:val="20"/>
                <w:szCs w:val="18"/>
                <w:lang w:val="en-GB"/>
              </w:rPr>
            </w:pPr>
            <w:r w:rsidRPr="0005487C">
              <w:rPr>
                <w:rFonts w:ascii="Times" w:eastAsia="Batang" w:hAnsi="Times" w:cs="Times New Roman"/>
                <w:color w:val="000000" w:themeColor="text1"/>
                <w:sz w:val="20"/>
                <w:szCs w:val="18"/>
                <w:lang w:val="en-GB"/>
              </w:rPr>
              <w:t xml:space="preserve">RAN4 reach the conclusion of the location of transient periods: </w:t>
            </w:r>
          </w:p>
          <w:p w14:paraId="039EF250" w14:textId="77777777" w:rsidR="0005487C" w:rsidRPr="0005487C" w:rsidRDefault="0005487C" w:rsidP="00F10D9A">
            <w:pPr>
              <w:numPr>
                <w:ilvl w:val="1"/>
                <w:numId w:val="30"/>
              </w:numPr>
              <w:jc w:val="both"/>
              <w:rPr>
                <w:rFonts w:ascii="Times" w:eastAsia="Batang" w:hAnsi="Times" w:cs="Times New Roman"/>
                <w:color w:val="000000" w:themeColor="text1"/>
                <w:sz w:val="20"/>
                <w:szCs w:val="18"/>
                <w:lang w:val="en-GB"/>
              </w:rPr>
            </w:pPr>
            <w:r w:rsidRPr="0005487C">
              <w:rPr>
                <w:rFonts w:ascii="Times" w:eastAsia="Batang" w:hAnsi="Times" w:cs="Times New Roman"/>
                <w:color w:val="000000" w:themeColor="text1"/>
                <w:sz w:val="20"/>
                <w:szCs w:val="18"/>
                <w:lang w:val="en-GB"/>
              </w:rPr>
              <w:t xml:space="preserve">Case-A: in </w:t>
            </w:r>
            <w:proofErr w:type="spellStart"/>
            <w:r w:rsidRPr="0005487C">
              <w:rPr>
                <w:rFonts w:ascii="Times" w:eastAsia="Batang" w:hAnsi="Times" w:cs="Times New Roman"/>
                <w:color w:val="000000" w:themeColor="text1"/>
                <w:sz w:val="20"/>
                <w:szCs w:val="18"/>
                <w:lang w:val="en-GB"/>
              </w:rPr>
              <w:t>TA_offset</w:t>
            </w:r>
            <w:proofErr w:type="spellEnd"/>
            <w:r w:rsidRPr="0005487C">
              <w:rPr>
                <w:rFonts w:ascii="Times" w:eastAsia="Batang" w:hAnsi="Times" w:cs="Times New Roman"/>
                <w:color w:val="000000" w:themeColor="text1"/>
                <w:sz w:val="20"/>
                <w:szCs w:val="18"/>
                <w:lang w:val="en-GB"/>
              </w:rPr>
              <w:t xml:space="preserve"> in SBFD symbol(s</w:t>
            </w:r>
            <w:proofErr w:type="gramStart"/>
            <w:r w:rsidRPr="0005487C">
              <w:rPr>
                <w:rFonts w:ascii="Times" w:eastAsia="Batang" w:hAnsi="Times" w:cs="Times New Roman"/>
                <w:color w:val="000000" w:themeColor="text1"/>
                <w:sz w:val="20"/>
                <w:szCs w:val="18"/>
                <w:lang w:val="en-GB"/>
              </w:rPr>
              <w:t>);</w:t>
            </w:r>
            <w:proofErr w:type="gramEnd"/>
            <w:r w:rsidRPr="0005487C">
              <w:rPr>
                <w:rFonts w:ascii="Times" w:eastAsia="Batang" w:hAnsi="Times" w:cs="Times New Roman"/>
                <w:color w:val="000000" w:themeColor="text1"/>
                <w:sz w:val="20"/>
                <w:szCs w:val="18"/>
                <w:lang w:val="en-GB"/>
              </w:rPr>
              <w:t xml:space="preserve"> </w:t>
            </w:r>
          </w:p>
          <w:p w14:paraId="03C29A64" w14:textId="77777777" w:rsidR="0005487C" w:rsidRPr="0005487C" w:rsidRDefault="0005487C" w:rsidP="00F10D9A">
            <w:pPr>
              <w:numPr>
                <w:ilvl w:val="1"/>
                <w:numId w:val="30"/>
              </w:numPr>
              <w:jc w:val="both"/>
              <w:rPr>
                <w:rFonts w:ascii="Times" w:eastAsia="Batang" w:hAnsi="Times" w:cs="Times New Roman"/>
                <w:color w:val="000000" w:themeColor="text1"/>
                <w:sz w:val="20"/>
                <w:szCs w:val="18"/>
                <w:lang w:val="en-GB"/>
              </w:rPr>
            </w:pPr>
            <w:r w:rsidRPr="0005487C">
              <w:rPr>
                <w:rFonts w:ascii="Times" w:eastAsia="Batang" w:hAnsi="Times" w:cs="Times New Roman"/>
                <w:color w:val="000000" w:themeColor="text1"/>
                <w:sz w:val="20"/>
                <w:szCs w:val="18"/>
                <w:lang w:val="en-GB"/>
              </w:rPr>
              <w:t xml:space="preserve">Case-D: in </w:t>
            </w:r>
            <w:proofErr w:type="spellStart"/>
            <w:r w:rsidRPr="0005487C">
              <w:rPr>
                <w:rFonts w:ascii="Times" w:eastAsia="Batang" w:hAnsi="Times" w:cs="Times New Roman"/>
                <w:color w:val="000000" w:themeColor="text1"/>
                <w:sz w:val="20"/>
                <w:szCs w:val="18"/>
                <w:lang w:val="en-GB"/>
              </w:rPr>
              <w:t>TA_offset</w:t>
            </w:r>
            <w:proofErr w:type="spellEnd"/>
            <w:r w:rsidRPr="0005487C">
              <w:rPr>
                <w:rFonts w:ascii="Times" w:eastAsia="Batang" w:hAnsi="Times" w:cs="Times New Roman"/>
                <w:color w:val="000000" w:themeColor="text1"/>
                <w:sz w:val="20"/>
                <w:szCs w:val="18"/>
                <w:lang w:val="en-GB"/>
              </w:rPr>
              <w:t xml:space="preserve"> in non-SBFD UL symbol(s).</w:t>
            </w:r>
          </w:p>
          <w:p w14:paraId="5BA9B210" w14:textId="77777777" w:rsidR="0005487C" w:rsidRPr="0005487C" w:rsidRDefault="0005487C" w:rsidP="00F10D9A">
            <w:pPr>
              <w:jc w:val="both"/>
              <w:rPr>
                <w:rFonts w:ascii="Times" w:eastAsia="Batang" w:hAnsi="Times" w:cs="Times New Roman"/>
                <w:b/>
                <w:bCs/>
                <w:color w:val="000000" w:themeColor="text1"/>
                <w:sz w:val="20"/>
                <w:szCs w:val="18"/>
                <w:highlight w:val="green"/>
                <w:lang w:val="en-GB"/>
              </w:rPr>
            </w:pPr>
            <w:r w:rsidRPr="0005487C">
              <w:rPr>
                <w:rFonts w:ascii="Times" w:eastAsia="Batang" w:hAnsi="Times" w:cs="Times New Roman"/>
                <w:b/>
                <w:bCs/>
                <w:color w:val="000000" w:themeColor="text1"/>
                <w:sz w:val="20"/>
                <w:szCs w:val="18"/>
                <w:highlight w:val="green"/>
                <w:lang w:val="en-GB"/>
              </w:rPr>
              <w:t xml:space="preserve">Agreement: </w:t>
            </w:r>
          </w:p>
          <w:p w14:paraId="1820F172" w14:textId="77777777" w:rsidR="0005487C" w:rsidRPr="0005487C" w:rsidRDefault="0005487C" w:rsidP="00F10D9A">
            <w:pPr>
              <w:numPr>
                <w:ilvl w:val="0"/>
                <w:numId w:val="30"/>
              </w:numPr>
              <w:jc w:val="both"/>
              <w:rPr>
                <w:rFonts w:ascii="Times" w:eastAsia="Batang" w:hAnsi="Times" w:cs="Times New Roman"/>
                <w:color w:val="000000" w:themeColor="text1"/>
                <w:sz w:val="20"/>
                <w:szCs w:val="18"/>
                <w:highlight w:val="yellow"/>
                <w:lang w:val="en-GB"/>
              </w:rPr>
            </w:pPr>
            <w:r w:rsidRPr="0005487C">
              <w:rPr>
                <w:rFonts w:ascii="Times" w:eastAsia="Batang" w:hAnsi="Times" w:cs="Times New Roman"/>
                <w:color w:val="000000" w:themeColor="text1"/>
                <w:sz w:val="20"/>
                <w:szCs w:val="18"/>
                <w:highlight w:val="yellow"/>
                <w:lang w:val="en-GB"/>
              </w:rPr>
              <w:t>For Case-B, guard symbol(s) should be reserved before UL symbols</w:t>
            </w:r>
          </w:p>
          <w:p w14:paraId="42DB6FE4" w14:textId="77777777" w:rsidR="0005487C" w:rsidRPr="0005487C" w:rsidRDefault="0005487C" w:rsidP="00F10D9A">
            <w:pPr>
              <w:numPr>
                <w:ilvl w:val="1"/>
                <w:numId w:val="30"/>
              </w:numPr>
              <w:jc w:val="both"/>
              <w:rPr>
                <w:rFonts w:ascii="Times" w:eastAsia="Batang" w:hAnsi="Times" w:cs="Times New Roman"/>
                <w:color w:val="000000" w:themeColor="text1"/>
                <w:sz w:val="20"/>
                <w:szCs w:val="18"/>
                <w:lang w:val="en-GB"/>
              </w:rPr>
            </w:pPr>
            <w:r w:rsidRPr="0005487C">
              <w:rPr>
                <w:rFonts w:ascii="Times" w:eastAsia="Batang" w:hAnsi="Times" w:cs="Times New Roman"/>
                <w:color w:val="000000" w:themeColor="text1"/>
                <w:sz w:val="20"/>
                <w:szCs w:val="18"/>
                <w:lang w:val="en-GB"/>
              </w:rPr>
              <w:t xml:space="preserve">The transient period can be reserved only in the DL part(s) of SBFD symbol(s) or in the whole channel bandwidth, up to gNB implementation. </w:t>
            </w:r>
          </w:p>
          <w:p w14:paraId="7760509F" w14:textId="77777777" w:rsidR="0005487C" w:rsidRPr="0005487C" w:rsidRDefault="0005487C" w:rsidP="00F10D9A">
            <w:pPr>
              <w:jc w:val="both"/>
              <w:rPr>
                <w:rFonts w:ascii="Times" w:eastAsia="Batang" w:hAnsi="Times" w:cs="Times New Roman"/>
                <w:b/>
                <w:bCs/>
                <w:color w:val="000000" w:themeColor="text1"/>
                <w:sz w:val="20"/>
                <w:szCs w:val="18"/>
                <w:highlight w:val="green"/>
                <w:lang w:val="en-GB"/>
              </w:rPr>
            </w:pPr>
            <w:r w:rsidRPr="0005487C">
              <w:rPr>
                <w:rFonts w:ascii="Times" w:eastAsia="Batang" w:hAnsi="Times" w:cs="Times New Roman"/>
                <w:b/>
                <w:bCs/>
                <w:color w:val="000000" w:themeColor="text1"/>
                <w:sz w:val="20"/>
                <w:szCs w:val="18"/>
                <w:highlight w:val="green"/>
                <w:lang w:val="en-GB"/>
              </w:rPr>
              <w:t xml:space="preserve">Agreement: </w:t>
            </w:r>
          </w:p>
          <w:p w14:paraId="4501D8F3" w14:textId="77777777" w:rsidR="0005487C" w:rsidRPr="0005487C" w:rsidRDefault="0005487C" w:rsidP="00F10D9A">
            <w:pPr>
              <w:numPr>
                <w:ilvl w:val="0"/>
                <w:numId w:val="30"/>
              </w:numPr>
              <w:jc w:val="both"/>
              <w:rPr>
                <w:rFonts w:ascii="Times" w:eastAsia="Batang" w:hAnsi="Times" w:cs="Times New Roman"/>
                <w:color w:val="000000" w:themeColor="text1"/>
                <w:sz w:val="20"/>
                <w:szCs w:val="18"/>
                <w:lang w:val="en-GB"/>
              </w:rPr>
            </w:pPr>
            <w:r w:rsidRPr="0005487C">
              <w:rPr>
                <w:rFonts w:ascii="Times" w:eastAsia="Batang" w:hAnsi="Times" w:cs="Times New Roman"/>
                <w:color w:val="000000" w:themeColor="text1"/>
                <w:sz w:val="20"/>
                <w:szCs w:val="18"/>
                <w:lang w:val="en-GB"/>
              </w:rPr>
              <w:t xml:space="preserve">For the location of transient periods Case-C, </w:t>
            </w:r>
          </w:p>
          <w:p w14:paraId="4A2FB56E" w14:textId="72ECBF69" w:rsidR="00FB3F0F" w:rsidRPr="0005487C" w:rsidRDefault="0005487C" w:rsidP="00F10D9A">
            <w:pPr>
              <w:ind w:left="360"/>
              <w:jc w:val="both"/>
              <w:rPr>
                <w:lang w:val="x-none" w:eastAsia="zh-CN"/>
              </w:rPr>
            </w:pPr>
            <w:r w:rsidRPr="00B47D04">
              <w:rPr>
                <w:rFonts w:ascii="Times" w:eastAsia="Batang" w:hAnsi="Times" w:cs="Times New Roman"/>
                <w:color w:val="000000" w:themeColor="text1"/>
                <w:sz w:val="20"/>
                <w:szCs w:val="18"/>
                <w:lang w:val="en-GB"/>
              </w:rPr>
              <w:t>Both Option 1 (guard symbols reserved in non-SBFD DL symbol(s)) and Option 2 (blanked SBFD symbols in the beginning of SBFD UL transmission) shall be allowed, up to gNB implementation.</w:t>
            </w:r>
          </w:p>
        </w:tc>
      </w:tr>
    </w:tbl>
    <w:p w14:paraId="44BD5D85" w14:textId="77777777" w:rsidR="00FB3F0F" w:rsidRPr="00CE0424" w:rsidRDefault="00FB3F0F" w:rsidP="00F10D9A">
      <w:pPr>
        <w:pStyle w:val="BodyText"/>
      </w:pPr>
    </w:p>
    <w:p w14:paraId="60123794" w14:textId="6825F9D3" w:rsidR="004000E8" w:rsidRDefault="004000E8" w:rsidP="00F10D9A">
      <w:pPr>
        <w:pStyle w:val="Heading1"/>
        <w:jc w:val="both"/>
      </w:pPr>
      <w:bookmarkStart w:id="0" w:name="_Ref178064866"/>
      <w:r w:rsidRPr="00CE0424">
        <w:lastRenderedPageBreak/>
        <w:t>Discussion</w:t>
      </w:r>
      <w:bookmarkEnd w:id="0"/>
    </w:p>
    <w:p w14:paraId="623C0D5D" w14:textId="417A4971" w:rsidR="0005487C" w:rsidRDefault="00B47D04" w:rsidP="00F10D9A">
      <w:pPr>
        <w:jc w:val="both"/>
        <w:rPr>
          <w:lang w:val="en-GB" w:eastAsia="ja-JP"/>
        </w:rPr>
      </w:pPr>
      <w:r>
        <w:rPr>
          <w:lang w:val="en-GB" w:eastAsia="ja-JP"/>
        </w:rPr>
        <w:t xml:space="preserve">RAN1 has previously discussed </w:t>
      </w:r>
      <w:r w:rsidR="00A65B0D">
        <w:rPr>
          <w:lang w:val="en-GB" w:eastAsia="ja-JP"/>
        </w:rPr>
        <w:t>transient/</w:t>
      </w:r>
      <w:r>
        <w:rPr>
          <w:lang w:val="en-GB" w:eastAsia="ja-JP"/>
        </w:rPr>
        <w:t>guard periods but so far not agreed to specify any explicit guard periods. Hence, it is up to gNB configuration and scheduling to avoid using the resources overlapping with the guard periods.</w:t>
      </w:r>
      <w:r w:rsidR="00A65B0D">
        <w:rPr>
          <w:lang w:val="en-GB" w:eastAsia="ja-JP"/>
        </w:rPr>
        <w:t xml:space="preserve"> There are however two situations worthwhile for additional consideration</w:t>
      </w:r>
      <w:r w:rsidR="0051738D">
        <w:rPr>
          <w:lang w:val="en-GB" w:eastAsia="ja-JP"/>
        </w:rPr>
        <w:t xml:space="preserve"> by RAN1</w:t>
      </w:r>
      <w:r w:rsidR="00A65B0D">
        <w:rPr>
          <w:lang w:val="en-GB" w:eastAsia="ja-JP"/>
        </w:rPr>
        <w:t xml:space="preserve"> with respect to the above-mentioned guard periods</w:t>
      </w:r>
      <w:r w:rsidR="0051738D">
        <w:rPr>
          <w:lang w:val="en-GB" w:eastAsia="ja-JP"/>
        </w:rPr>
        <w:t>: guard subbands in relation to the guard bands and ROs across SBFD and non-SBFD symbols.</w:t>
      </w:r>
    </w:p>
    <w:p w14:paraId="64E4E6FF" w14:textId="2A73AA44" w:rsidR="002337F2" w:rsidRDefault="002337F2" w:rsidP="00F10D9A">
      <w:pPr>
        <w:pStyle w:val="Heading2"/>
        <w:jc w:val="both"/>
      </w:pPr>
      <w:r>
        <w:t>Guard subbands in relation to guard periods</w:t>
      </w:r>
    </w:p>
    <w:p w14:paraId="55B56CD6" w14:textId="5A9965E7" w:rsidR="00A65B0D" w:rsidRPr="004820F2" w:rsidRDefault="00A65B0D" w:rsidP="00F10D9A">
      <w:pPr>
        <w:jc w:val="both"/>
      </w:pPr>
      <w:r w:rsidRPr="004820F2">
        <w:t>In brief, the RAN4 agreement</w:t>
      </w:r>
      <w:r>
        <w:t>s</w:t>
      </w:r>
      <w:r w:rsidRPr="004820F2">
        <w:t xml:space="preserve"> state that a transmitter transient period of 10 µs for FR1 and 3 µs for FR2 is required to/from SBFD subbands. These values correspond to less than a symbol for both FR1 and FR2, regardless of numerology, but also exceeds the cyclic prefix implying that a symbol needs to be allocated for the transient.</w:t>
      </w:r>
      <w:r>
        <w:t xml:space="preserve"> Additionally, for Case A and Case D, the transitions can be handled in the TA offset periods whereas for Case B, the transition period is immediately before the UL symbols and for Case C, the guard symbols may be either in the last non-SBFD DL symbols or the first SBFD symbols, up to gNB implementation.</w:t>
      </w:r>
    </w:p>
    <w:p w14:paraId="2C1D33DF" w14:textId="0E698160" w:rsidR="00A65B0D" w:rsidRPr="004820F2" w:rsidRDefault="00A65B0D" w:rsidP="00F10D9A">
      <w:pPr>
        <w:jc w:val="both"/>
      </w:pPr>
      <w:r>
        <w:t>For Case C, i</w:t>
      </w:r>
      <w:r w:rsidRPr="004820F2">
        <w:t xml:space="preserve">n addition to the transmitter transient period, </w:t>
      </w:r>
      <w:r>
        <w:t xml:space="preserve">it may be advantageous to introduce </w:t>
      </w:r>
      <w:r w:rsidRPr="004820F2">
        <w:t xml:space="preserve">a longer guard period between DL </w:t>
      </w:r>
      <w:r>
        <w:t xml:space="preserve">symbols </w:t>
      </w:r>
      <w:r w:rsidRPr="004820F2">
        <w:t xml:space="preserve">and UL </w:t>
      </w:r>
      <w:r>
        <w:t>subbands</w:t>
      </w:r>
      <w:r w:rsidRPr="004820F2">
        <w:t xml:space="preserve"> to avoid DL-to-UL or UL-to-DL interference </w:t>
      </w:r>
      <w:r>
        <w:t>arising from</w:t>
      </w:r>
      <w:r w:rsidRPr="004820F2">
        <w:t xml:space="preserve"> timing advance, p</w:t>
      </w:r>
      <w:r>
        <w:t>ath</w:t>
      </w:r>
      <w:r w:rsidRPr="004820F2">
        <w:t xml:space="preserve"> delays and </w:t>
      </w:r>
      <w:r>
        <w:t>inter-</w:t>
      </w:r>
      <w:r w:rsidRPr="004820F2">
        <w:t xml:space="preserve">gNB synchronization inaccuracies. This timing misalignment may cause DL and UL slots to be mixed at both a receiving UE and a receiving </w:t>
      </w:r>
      <w:proofErr w:type="spellStart"/>
      <w:r w:rsidRPr="004820F2">
        <w:t>gNB</w:t>
      </w:r>
      <w:proofErr w:type="spellEnd"/>
      <w:r w:rsidRPr="004820F2">
        <w:t xml:space="preserve">, see </w:t>
      </w:r>
      <w:r w:rsidRPr="004820F2">
        <w:fldChar w:fldCharType="begin"/>
      </w:r>
      <w:r w:rsidRPr="004820F2">
        <w:instrText xml:space="preserve"> REF _Ref176868349 \h </w:instrText>
      </w:r>
      <w:r w:rsidR="00F10D9A">
        <w:instrText xml:space="preserve"> \* MERGEFORMAT </w:instrText>
      </w:r>
      <w:r w:rsidRPr="004820F2">
        <w:fldChar w:fldCharType="separate"/>
      </w:r>
      <w:r w:rsidR="00CE1823" w:rsidRPr="004820F2">
        <w:t xml:space="preserve">Figure </w:t>
      </w:r>
      <w:r w:rsidR="00CE1823">
        <w:rPr>
          <w:noProof/>
        </w:rPr>
        <w:t>1</w:t>
      </w:r>
      <w:r w:rsidRPr="004820F2">
        <w:fldChar w:fldCharType="end"/>
      </w:r>
      <w:r w:rsidRPr="004820F2">
        <w:t>. Without the guard period, the DL transmission from a gNB to UE A may be interfered by an UL transmission from UE B due to the timing advance of UE B. Alternatively, the UL transmission from UE A towards gNB A may be interfered by a DL transmission from gNB B towards UE B, due to a difference in propagation delay.</w:t>
      </w:r>
    </w:p>
    <w:p w14:paraId="775BBB97" w14:textId="77777777" w:rsidR="00A65B0D" w:rsidRPr="004820F2" w:rsidRDefault="00A65B0D" w:rsidP="00F10D9A">
      <w:pPr>
        <w:keepNext/>
        <w:jc w:val="both"/>
      </w:pPr>
      <w:r w:rsidRPr="004820F2">
        <w:rPr>
          <w:noProof/>
        </w:rPr>
        <w:drawing>
          <wp:inline distT="0" distB="0" distL="0" distR="0" wp14:anchorId="6DA3DC35" wp14:editId="4243D12B">
            <wp:extent cx="6129020" cy="2743200"/>
            <wp:effectExtent l="0" t="0" r="0" b="0"/>
            <wp:docPr id="24" name="Object 2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4"/>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9020" cy="2743200"/>
                    </a:xfrm>
                    <a:prstGeom prst="rect">
                      <a:avLst/>
                    </a:prstGeom>
                    <a:noFill/>
                    <a:ln>
                      <a:noFill/>
                    </a:ln>
                  </pic:spPr>
                </pic:pic>
              </a:graphicData>
            </a:graphic>
          </wp:inline>
        </w:drawing>
      </w:r>
    </w:p>
    <w:p w14:paraId="153877EF" w14:textId="0DE18248" w:rsidR="00A65B0D" w:rsidRPr="004820F2" w:rsidRDefault="00A65B0D" w:rsidP="00F10D9A">
      <w:pPr>
        <w:pStyle w:val="Caption"/>
        <w:jc w:val="both"/>
      </w:pPr>
      <w:bookmarkStart w:id="1" w:name="_Ref176868349"/>
      <w:r w:rsidRPr="004820F2">
        <w:t xml:space="preserve">Figure </w:t>
      </w:r>
      <w:r>
        <w:fldChar w:fldCharType="begin"/>
      </w:r>
      <w:r>
        <w:instrText xml:space="preserve"> SEQ Figure \* ARABIC </w:instrText>
      </w:r>
      <w:r>
        <w:fldChar w:fldCharType="separate"/>
      </w:r>
      <w:r w:rsidR="00CE1823">
        <w:rPr>
          <w:noProof/>
        </w:rPr>
        <w:t>1</w:t>
      </w:r>
      <w:r>
        <w:rPr>
          <w:noProof/>
        </w:rPr>
        <w:fldChar w:fldCharType="end"/>
      </w:r>
      <w:bookmarkEnd w:id="1"/>
      <w:r w:rsidRPr="004820F2">
        <w:t>: Interference scenarios for</w:t>
      </w:r>
      <w:r w:rsidR="00F10D9A">
        <w:t xml:space="preserve"> Case C</w:t>
      </w:r>
      <w:r w:rsidRPr="004820F2">
        <w:t>, left, UE-to-UE interference and, right, gNB-to-gNB interference.</w:t>
      </w:r>
    </w:p>
    <w:p w14:paraId="325DCAD7" w14:textId="710E8EE7" w:rsidR="00A65B0D" w:rsidRPr="004820F2" w:rsidRDefault="00A65B0D" w:rsidP="00F10D9A">
      <w:pPr>
        <w:jc w:val="both"/>
        <w:rPr>
          <w:lang w:eastAsia="en-GB"/>
        </w:rPr>
      </w:pPr>
      <w:r w:rsidRPr="004820F2">
        <w:t xml:space="preserve">The legacy NR guard period is implemented as flexible symbols causing a gap between DL and UL symbols, see </w:t>
      </w:r>
      <w:r w:rsidRPr="004820F2">
        <w:fldChar w:fldCharType="begin"/>
      </w:r>
      <w:r w:rsidRPr="004820F2">
        <w:instrText xml:space="preserve"> REF _Ref176868524 \h </w:instrText>
      </w:r>
      <w:r w:rsidR="00F10D9A">
        <w:instrText xml:space="preserve"> \* MERGEFORMAT </w:instrText>
      </w:r>
      <w:r w:rsidRPr="004820F2">
        <w:fldChar w:fldCharType="separate"/>
      </w:r>
      <w:r w:rsidR="00CE1823" w:rsidRPr="004820F2">
        <w:t xml:space="preserve">Figure </w:t>
      </w:r>
      <w:r w:rsidR="00CE1823">
        <w:rPr>
          <w:noProof/>
        </w:rPr>
        <w:t>2</w:t>
      </w:r>
      <w:r w:rsidRPr="004820F2">
        <w:fldChar w:fldCharType="end"/>
      </w:r>
      <w:r w:rsidRPr="004820F2">
        <w:t>. If properly selected, the guard period will cause a sufficiently long gap between DL and UL such that any effects arising from timing advance, or propagation delays are either avoided or have sufficiently worn off. In SBFD, interference may not only arise between DL and UL symbols but also between DL symbols and UL subbands. However, such a guard period is only needed for the fraction of the spectrum that constitutes the UL subband for the above interference cases.</w:t>
      </w:r>
    </w:p>
    <w:p w14:paraId="533B6ABA" w14:textId="77777777" w:rsidR="00A65B0D" w:rsidRPr="004820F2" w:rsidRDefault="00A65B0D" w:rsidP="00F10D9A">
      <w:pPr>
        <w:keepNext/>
        <w:jc w:val="both"/>
      </w:pPr>
      <w:r w:rsidRPr="004820F2">
        <w:rPr>
          <w:noProof/>
        </w:rPr>
        <w:lastRenderedPageBreak/>
        <w:drawing>
          <wp:inline distT="0" distB="0" distL="0" distR="0" wp14:anchorId="3EBC3876" wp14:editId="55CED88A">
            <wp:extent cx="6129020" cy="1012825"/>
            <wp:effectExtent l="0" t="0" r="0" b="0"/>
            <wp:docPr id="23" name="Object 2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3"/>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9020" cy="1012825"/>
                    </a:xfrm>
                    <a:prstGeom prst="rect">
                      <a:avLst/>
                    </a:prstGeom>
                    <a:noFill/>
                    <a:ln>
                      <a:noFill/>
                    </a:ln>
                  </pic:spPr>
                </pic:pic>
              </a:graphicData>
            </a:graphic>
          </wp:inline>
        </w:drawing>
      </w:r>
    </w:p>
    <w:p w14:paraId="297A4C7F" w14:textId="3C0CBD54" w:rsidR="00A65B0D" w:rsidRPr="004820F2" w:rsidRDefault="00A65B0D" w:rsidP="00F10D9A">
      <w:pPr>
        <w:pStyle w:val="Caption"/>
        <w:jc w:val="both"/>
      </w:pPr>
      <w:bookmarkStart w:id="2" w:name="_Ref176868524"/>
      <w:r w:rsidRPr="004820F2">
        <w:t xml:space="preserve">Figure </w:t>
      </w:r>
      <w:r>
        <w:fldChar w:fldCharType="begin"/>
      </w:r>
      <w:r>
        <w:instrText xml:space="preserve"> SEQ Figure \* ARABIC </w:instrText>
      </w:r>
      <w:r>
        <w:fldChar w:fldCharType="separate"/>
      </w:r>
      <w:r w:rsidR="00CE1823">
        <w:rPr>
          <w:noProof/>
        </w:rPr>
        <w:t>2</w:t>
      </w:r>
      <w:r>
        <w:rPr>
          <w:noProof/>
        </w:rPr>
        <w:fldChar w:fldCharType="end"/>
      </w:r>
      <w:bookmarkEnd w:id="2"/>
      <w:r w:rsidRPr="004820F2">
        <w:t xml:space="preserve">: Interference at receiver without and with guard period for (left) UE A and (right) </w:t>
      </w:r>
      <w:proofErr w:type="spellStart"/>
      <w:r w:rsidRPr="004820F2">
        <w:t>gNB</w:t>
      </w:r>
      <w:proofErr w:type="spellEnd"/>
      <w:r w:rsidRPr="004820F2">
        <w:t xml:space="preserve"> A from </w:t>
      </w:r>
      <w:r w:rsidRPr="004820F2">
        <w:fldChar w:fldCharType="begin"/>
      </w:r>
      <w:r w:rsidRPr="004820F2">
        <w:instrText xml:space="preserve"> REF _Ref176868349 \h </w:instrText>
      </w:r>
      <w:r w:rsidR="00F10D9A">
        <w:instrText xml:space="preserve"> \* MERGEFORMAT </w:instrText>
      </w:r>
      <w:r w:rsidRPr="004820F2">
        <w:fldChar w:fldCharType="separate"/>
      </w:r>
      <w:r w:rsidR="00CE1823" w:rsidRPr="004820F2">
        <w:t xml:space="preserve">Figure </w:t>
      </w:r>
      <w:r w:rsidR="00CE1823">
        <w:rPr>
          <w:noProof/>
        </w:rPr>
        <w:t>1</w:t>
      </w:r>
      <w:r w:rsidRPr="004820F2">
        <w:fldChar w:fldCharType="end"/>
      </w:r>
      <w:r w:rsidRPr="004820F2">
        <w:t xml:space="preserve">. </w:t>
      </w:r>
    </w:p>
    <w:p w14:paraId="53D55F54" w14:textId="77777777" w:rsidR="00A65B0D" w:rsidRPr="004820F2" w:rsidRDefault="00A65B0D" w:rsidP="00F10D9A">
      <w:pPr>
        <w:jc w:val="both"/>
      </w:pPr>
      <w:r w:rsidRPr="004820F2">
        <w:t>While configuring flexible symbols may strictly not be necessary, since the guard period can be solved by gNB implementation, there are some strong reasons to still do so. First, flexible symbols may be included in mandated, country specific TDD pattern configurations. Second, flexible symbols are a way for an operator to configure different durations of guard periods for different deployment scenarios with different interference distances or to align gNBs from different network vendors that may otherwise use different, incompatible strategies.</w:t>
      </w:r>
    </w:p>
    <w:p w14:paraId="3BB70663" w14:textId="1CDCCDBD" w:rsidR="00A65B0D" w:rsidRPr="004820F2" w:rsidRDefault="00A65B0D" w:rsidP="00F10D9A">
      <w:pPr>
        <w:jc w:val="both"/>
      </w:pPr>
      <w:r w:rsidRPr="004820F2">
        <w:fldChar w:fldCharType="begin"/>
      </w:r>
      <w:r w:rsidRPr="004820F2">
        <w:instrText xml:space="preserve"> REF _Ref176870109 \h </w:instrText>
      </w:r>
      <w:r w:rsidR="00F10D9A">
        <w:instrText xml:space="preserve"> \* MERGEFORMAT </w:instrText>
      </w:r>
      <w:r w:rsidRPr="004820F2">
        <w:fldChar w:fldCharType="separate"/>
      </w:r>
      <w:r w:rsidR="00CE1823" w:rsidRPr="004820F2">
        <w:t xml:space="preserve">Figure </w:t>
      </w:r>
      <w:r w:rsidR="00CE1823">
        <w:rPr>
          <w:noProof/>
        </w:rPr>
        <w:t>3</w:t>
      </w:r>
      <w:r w:rsidRPr="004820F2">
        <w:fldChar w:fldCharType="end"/>
      </w:r>
      <w:r w:rsidRPr="004820F2">
        <w:t xml:space="preserve"> presents to the left a legacy flexible symbol configuration, effectively establishing a guard period in-between DL and UL. In the center figure, an SBFD configuration with an additional SBFD guard period spanning the whole carrier has been introduced in DL symbols (dotted lines), and the right figure shows an additional SBFD guard subband spanning only the UL subband. A corresponding interference effect as the DL-to-UL symbol transition in legacy NR is found between the DL-to-SBFD symbol transition in the UL subband. A difference, though, is that for legacy, the whole carrier is affected, whereas for SBFD, only the UL subband will suffer from the transient interference. In fact, for DL subbands, it is desirable to not introduce any additional guard band to what is already introduced by RAN4 per the above since that would only decrease DL resources without any benefit to it. Doing so at the start of a slot would be particularly ill-timed since that is typically when CORSETs are configured. Furthermore, legacy UEs scheduled in the DL would not be aware of such a guard band and would not be able to adapt to it. </w:t>
      </w:r>
    </w:p>
    <w:p w14:paraId="777CDAE1" w14:textId="77777777" w:rsidR="00A65B0D" w:rsidRPr="004820F2" w:rsidRDefault="00A65B0D" w:rsidP="00F10D9A">
      <w:pPr>
        <w:keepNext/>
        <w:jc w:val="both"/>
      </w:pPr>
      <w:r w:rsidRPr="004820F2">
        <w:rPr>
          <w:noProof/>
        </w:rPr>
        <w:drawing>
          <wp:inline distT="0" distB="0" distL="0" distR="0" wp14:anchorId="7B55FF85" wp14:editId="2D3885E8">
            <wp:extent cx="5992495" cy="1209040"/>
            <wp:effectExtent l="0" t="0" r="1905"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2495" cy="1209040"/>
                    </a:xfrm>
                    <a:prstGeom prst="rect">
                      <a:avLst/>
                    </a:prstGeom>
                    <a:noFill/>
                    <a:ln>
                      <a:noFill/>
                    </a:ln>
                  </pic:spPr>
                </pic:pic>
              </a:graphicData>
            </a:graphic>
          </wp:inline>
        </w:drawing>
      </w:r>
      <w:r w:rsidRPr="004820F2" w:rsidDel="00005F0B">
        <w:t xml:space="preserve"> </w:t>
      </w:r>
    </w:p>
    <w:p w14:paraId="0BE5DE8E" w14:textId="6ADC5C81" w:rsidR="00A65B0D" w:rsidRPr="004820F2" w:rsidRDefault="00A65B0D" w:rsidP="00F10D9A">
      <w:pPr>
        <w:pStyle w:val="Caption"/>
        <w:jc w:val="both"/>
      </w:pPr>
      <w:bookmarkStart w:id="3" w:name="_Ref176870109"/>
      <w:r w:rsidRPr="004820F2">
        <w:t xml:space="preserve">Figure </w:t>
      </w:r>
      <w:r>
        <w:fldChar w:fldCharType="begin"/>
      </w:r>
      <w:r>
        <w:instrText xml:space="preserve"> SEQ Figure \* ARABIC </w:instrText>
      </w:r>
      <w:r>
        <w:fldChar w:fldCharType="separate"/>
      </w:r>
      <w:r w:rsidR="00CE1823">
        <w:rPr>
          <w:noProof/>
        </w:rPr>
        <w:t>3</w:t>
      </w:r>
      <w:r>
        <w:rPr>
          <w:noProof/>
        </w:rPr>
        <w:fldChar w:fldCharType="end"/>
      </w:r>
      <w:bookmarkEnd w:id="3"/>
      <w:r w:rsidRPr="004820F2">
        <w:t xml:space="preserve">: Example of, left, legacy configuration with a single period of flexible symbols providing a DL-to-UL gap, center, an SBFD configuration with an SBFD-specific and gNB managed guard period for transmission transients in addition to the legacy configuration, </w:t>
      </w:r>
      <w:r w:rsidRPr="004820F2" w:rsidDel="00A65127">
        <w:t xml:space="preserve">and </w:t>
      </w:r>
      <w:r w:rsidRPr="004820F2">
        <w:t>right, in addition to the center configuration, a guard band, separating the DL symbols from the UL subband.</w:t>
      </w:r>
    </w:p>
    <w:p w14:paraId="0C97A7F5" w14:textId="77777777" w:rsidR="00A65B0D" w:rsidRPr="004820F2" w:rsidRDefault="00A65B0D" w:rsidP="00F10D9A">
      <w:pPr>
        <w:jc w:val="both"/>
      </w:pPr>
      <w:r w:rsidRPr="004820F2">
        <w:t>A complication to the above is that the present specification only supports the configuration of a single contiguous block of flexible symbols. Although NR allows for the configuration of a large contiguous block of flexible symbols, from which two sets of guard periods could be derived, the guard subband preceding the UL subband would not be possible to configure. Furthermore, such a configuration would require significant network reconfigurations that is highly risky and therefore undesirable, e.g., legacy ROs for random access would likely cause significant problems.</w:t>
      </w:r>
    </w:p>
    <w:p w14:paraId="31132896" w14:textId="77777777" w:rsidR="00A65B0D" w:rsidRPr="004820F2" w:rsidRDefault="00A65B0D" w:rsidP="00F10D9A">
      <w:pPr>
        <w:jc w:val="both"/>
      </w:pPr>
      <w:r w:rsidRPr="004820F2">
        <w:t>Whereas the guard period arising from transmission transients only affects the serving cell and for that reason may be solved by network implementation, the guard subband ahead of the UL subband may be a bit more complicated since it may also affect neighbor cells. For some scheduling situations it may be beneficial or even necessary if the UE to knows about the guard subband, e.g., configured UL grants. Hence, the specification should allow for configuring a guard subband ahead of the UL subband in SBFD.</w:t>
      </w:r>
    </w:p>
    <w:p w14:paraId="4708E061" w14:textId="77777777" w:rsidR="00A65B0D" w:rsidRPr="004820F2" w:rsidRDefault="00A65B0D" w:rsidP="00F10D9A">
      <w:pPr>
        <w:jc w:val="both"/>
      </w:pPr>
      <w:r w:rsidRPr="004820F2">
        <w:t>The above discussion brings us to the following observation and proposal:</w:t>
      </w:r>
    </w:p>
    <w:p w14:paraId="3A94B391" w14:textId="77777777" w:rsidR="00A65B0D" w:rsidRPr="004820F2" w:rsidRDefault="00A65B0D" w:rsidP="00F10D9A">
      <w:pPr>
        <w:pStyle w:val="Observation"/>
      </w:pPr>
      <w:bookmarkStart w:id="4" w:name="_Toc194089832"/>
      <w:bookmarkStart w:id="5" w:name="_Toc197723179"/>
      <w:r w:rsidRPr="004820F2">
        <w:lastRenderedPageBreak/>
        <w:t>For interference reasons, it would be beneficial to separate DL and UL spectrum in the intersection between DL and SBFD symbols, i.e., to introduce a guard band in the first symbol(s) of the UL subband.</w:t>
      </w:r>
      <w:bookmarkEnd w:id="4"/>
      <w:bookmarkEnd w:id="5"/>
    </w:p>
    <w:p w14:paraId="2886D908" w14:textId="75B9A2B4" w:rsidR="002337F2" w:rsidRPr="002337F2" w:rsidRDefault="00A65B0D" w:rsidP="00F10D9A">
      <w:pPr>
        <w:pStyle w:val="Proposal"/>
        <w:rPr>
          <w:lang w:val="en-GB" w:eastAsia="ja-JP"/>
        </w:rPr>
      </w:pPr>
      <w:bookmarkStart w:id="6" w:name="_Toc194089807"/>
      <w:bookmarkStart w:id="7" w:name="_Toc197723181"/>
      <w:r w:rsidRPr="00D7282F">
        <w:t xml:space="preserve">Introduce a guard subband in the first symbol(s) of the UL subband. FFS: guard </w:t>
      </w:r>
      <w:r>
        <w:t>sub</w:t>
      </w:r>
      <w:r w:rsidRPr="00D7282F">
        <w:t>band duration.</w:t>
      </w:r>
      <w:bookmarkEnd w:id="6"/>
      <w:bookmarkEnd w:id="7"/>
    </w:p>
    <w:p w14:paraId="03ECBA08" w14:textId="18CC855F" w:rsidR="002337F2" w:rsidRPr="002337F2" w:rsidRDefault="002337F2" w:rsidP="00F10D9A">
      <w:pPr>
        <w:pStyle w:val="Heading2"/>
        <w:jc w:val="both"/>
      </w:pPr>
      <w:r>
        <w:t>ROs across SBFD and non-SBFD symbols</w:t>
      </w:r>
    </w:p>
    <w:p w14:paraId="73DA3DB1" w14:textId="1997E54E" w:rsidR="00B47D04" w:rsidRDefault="00B47D04" w:rsidP="00F10D9A">
      <w:pPr>
        <w:jc w:val="both"/>
        <w:rPr>
          <w:lang w:val="en-GB" w:eastAsia="ja-JP"/>
        </w:rPr>
      </w:pPr>
      <w:r>
        <w:rPr>
          <w:lang w:val="en-GB" w:eastAsia="ja-JP"/>
        </w:rPr>
        <w:t>There is however one case</w:t>
      </w:r>
      <w:r w:rsidR="00250638">
        <w:rPr>
          <w:lang w:val="en-GB" w:eastAsia="ja-JP"/>
        </w:rPr>
        <w:t>, relating to Case B in the RAN4 agreement,</w:t>
      </w:r>
      <w:r>
        <w:rPr>
          <w:lang w:val="en-GB" w:eastAsia="ja-JP"/>
        </w:rPr>
        <w:t xml:space="preserve"> where the guard periods agreed by RAN4 are relevant for ongoing RAN1 discussions. RAN1 has made the following agreement on PRACH preambles across SBFD and non-SBFD symbols </w:t>
      </w:r>
      <w:r w:rsidR="00A8789A">
        <w:rPr>
          <w:lang w:val="en-GB" w:eastAsia="ja-JP"/>
        </w:rPr>
        <w:fldChar w:fldCharType="begin"/>
      </w:r>
      <w:r w:rsidR="00A8789A">
        <w:rPr>
          <w:lang w:val="en-GB" w:eastAsia="ja-JP"/>
        </w:rPr>
        <w:instrText xml:space="preserve"> REF _Ref189639965 \n \h </w:instrText>
      </w:r>
      <w:r w:rsidR="00F10D9A">
        <w:rPr>
          <w:lang w:val="en-GB" w:eastAsia="ja-JP"/>
        </w:rPr>
        <w:instrText xml:space="preserve"> \* MERGEFORMAT </w:instrText>
      </w:r>
      <w:r w:rsidR="00A8789A">
        <w:rPr>
          <w:lang w:val="en-GB" w:eastAsia="ja-JP"/>
        </w:rPr>
      </w:r>
      <w:r w:rsidR="00A8789A">
        <w:rPr>
          <w:lang w:val="en-GB" w:eastAsia="ja-JP"/>
        </w:rPr>
        <w:fldChar w:fldCharType="separate"/>
      </w:r>
      <w:r w:rsidR="00CE1823">
        <w:rPr>
          <w:lang w:val="en-GB" w:eastAsia="ja-JP"/>
        </w:rPr>
        <w:t>[2]</w:t>
      </w:r>
      <w:r w:rsidR="00A8789A">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B47D04" w14:paraId="1745AF43" w14:textId="77777777" w:rsidTr="00B47D04">
        <w:tc>
          <w:tcPr>
            <w:tcW w:w="9629" w:type="dxa"/>
          </w:tcPr>
          <w:p w14:paraId="1B455316" w14:textId="77777777" w:rsidR="00B47D04" w:rsidRPr="00B47D04" w:rsidRDefault="00B47D04" w:rsidP="00F10D9A">
            <w:pPr>
              <w:spacing w:line="240" w:lineRule="auto"/>
              <w:jc w:val="both"/>
              <w:rPr>
                <w:rFonts w:ascii="Times" w:eastAsia="Batang" w:hAnsi="Times" w:cs="Times New Roman"/>
                <w:b/>
                <w:bCs/>
                <w:sz w:val="20"/>
                <w:lang w:val="en-GB"/>
              </w:rPr>
            </w:pPr>
            <w:r w:rsidRPr="00B47D04">
              <w:rPr>
                <w:rFonts w:ascii="Times" w:eastAsia="Batang" w:hAnsi="Times" w:cs="Times New Roman"/>
                <w:b/>
                <w:bCs/>
                <w:sz w:val="20"/>
                <w:highlight w:val="green"/>
                <w:lang w:val="en-GB"/>
              </w:rPr>
              <w:t>Agreement</w:t>
            </w:r>
          </w:p>
          <w:p w14:paraId="4D912B56" w14:textId="77777777" w:rsidR="00B47D04" w:rsidRPr="00B47D04" w:rsidRDefault="00B47D04" w:rsidP="00F10D9A">
            <w:pPr>
              <w:spacing w:after="0" w:line="240" w:lineRule="auto"/>
              <w:jc w:val="both"/>
              <w:rPr>
                <w:rFonts w:ascii="Times" w:eastAsia="Batang" w:hAnsi="Times" w:cs="Times New Roman"/>
                <w:color w:val="000000" w:themeColor="text1"/>
                <w:sz w:val="20"/>
                <w:szCs w:val="18"/>
                <w:lang w:val="en-GB"/>
              </w:rPr>
            </w:pPr>
            <w:r w:rsidRPr="00B47D04">
              <w:rPr>
                <w:rFonts w:ascii="Times" w:eastAsia="Batang" w:hAnsi="Times" w:cs="Times New Roman"/>
                <w:color w:val="000000" w:themeColor="text1"/>
                <w:sz w:val="20"/>
                <w:szCs w:val="18"/>
                <w:lang w:val="en-GB"/>
              </w:rPr>
              <w:t xml:space="preserve">A RO across SBFD symbols and non-SBFD symbols in the same slot or across slots is invalid by default. </w:t>
            </w:r>
          </w:p>
          <w:p w14:paraId="553872DC" w14:textId="77777777" w:rsidR="00B47D04" w:rsidRPr="00B47D04" w:rsidRDefault="00B47D04" w:rsidP="00F10D9A">
            <w:pPr>
              <w:spacing w:after="0" w:line="240" w:lineRule="auto"/>
              <w:jc w:val="both"/>
              <w:rPr>
                <w:rFonts w:ascii="Times" w:eastAsia="Batang" w:hAnsi="Times" w:cs="Times New Roman"/>
                <w:color w:val="000000" w:themeColor="text1"/>
                <w:sz w:val="20"/>
                <w:szCs w:val="18"/>
                <w:lang w:val="en-GB"/>
              </w:rPr>
            </w:pPr>
            <w:r w:rsidRPr="00B47D04">
              <w:rPr>
                <w:rFonts w:ascii="Times" w:eastAsia="Batang" w:hAnsi="Times" w:cs="Times New Roman"/>
                <w:color w:val="000000" w:themeColor="text1"/>
                <w:sz w:val="20"/>
                <w:szCs w:val="18"/>
                <w:lang w:val="en-GB"/>
              </w:rPr>
              <w:t>A configured RO starting from SBFD symbol and ending in</w:t>
            </w:r>
            <w:r w:rsidRPr="00B47D04">
              <w:rPr>
                <w:rFonts w:ascii="Times" w:eastAsia="Batang" w:hAnsi="Times" w:cs="Times New Roman"/>
                <w:sz w:val="20"/>
                <w:szCs w:val="18"/>
                <w:lang w:val="en-GB"/>
              </w:rPr>
              <w:t xml:space="preserve"> non-SBFD symbol either in the same slot or across different slots can be valid based on network configuration. This</w:t>
            </w:r>
            <w:r w:rsidRPr="00B47D04">
              <w:rPr>
                <w:rFonts w:ascii="Times" w:eastAsia="DengXian" w:hAnsi="Times" w:cs="Times New Roman"/>
                <w:iCs/>
                <w:sz w:val="20"/>
                <w:szCs w:val="18"/>
                <w:lang w:val="en-GB"/>
              </w:rPr>
              <w:t xml:space="preserve"> is only supported for RACH configuration option 2 and only supported for the ROs configured by the additional RACH configuration. </w:t>
            </w:r>
            <w:r w:rsidRPr="00B47D04">
              <w:rPr>
                <w:rFonts w:ascii="Times" w:eastAsia="Batang" w:hAnsi="Times" w:cs="Times New Roman"/>
                <w:color w:val="000000" w:themeColor="text1"/>
                <w:sz w:val="20"/>
                <w:szCs w:val="18"/>
                <w:lang w:val="en-GB"/>
              </w:rPr>
              <w:t>If network configures such RO as a valid RO, UE should treat the RO as an additional-RO in SBFD symbols, and the followings are assumed by network and UE:</w:t>
            </w:r>
          </w:p>
          <w:p w14:paraId="719B3BFC" w14:textId="77777777" w:rsidR="00B47D04" w:rsidRPr="00B47D04" w:rsidRDefault="00B47D04" w:rsidP="00F10D9A">
            <w:pPr>
              <w:widowControl w:val="0"/>
              <w:numPr>
                <w:ilvl w:val="0"/>
                <w:numId w:val="26"/>
              </w:numPr>
              <w:autoSpaceDE w:val="0"/>
              <w:autoSpaceDN w:val="0"/>
              <w:spacing w:after="0" w:line="240" w:lineRule="auto"/>
              <w:jc w:val="both"/>
              <w:rPr>
                <w:rFonts w:ascii="Times" w:eastAsia="Batang" w:hAnsi="Times" w:cs="Times New Roman"/>
                <w:color w:val="000000" w:themeColor="text1"/>
                <w:sz w:val="20"/>
                <w:szCs w:val="18"/>
                <w:lang w:eastAsia="x-none"/>
              </w:rPr>
            </w:pPr>
            <w:r w:rsidRPr="00B47D04">
              <w:rPr>
                <w:rFonts w:ascii="Times" w:eastAsia="Batang" w:hAnsi="Times" w:cs="Times New Roman"/>
                <w:color w:val="000000" w:themeColor="text1"/>
                <w:sz w:val="20"/>
                <w:szCs w:val="18"/>
                <w:lang w:eastAsia="x-none"/>
              </w:rPr>
              <w:t>The same frequency resources are used for both the SBFD segment and non-SBFD segment of the PRACH.</w:t>
            </w:r>
          </w:p>
          <w:p w14:paraId="6B59191F" w14:textId="77777777" w:rsidR="00B47D04" w:rsidRPr="00B47D04" w:rsidRDefault="00B47D04" w:rsidP="00F10D9A">
            <w:pPr>
              <w:widowControl w:val="0"/>
              <w:numPr>
                <w:ilvl w:val="0"/>
                <w:numId w:val="26"/>
              </w:numPr>
              <w:autoSpaceDE w:val="0"/>
              <w:autoSpaceDN w:val="0"/>
              <w:spacing w:after="0" w:line="240" w:lineRule="auto"/>
              <w:jc w:val="both"/>
              <w:rPr>
                <w:rFonts w:ascii="Times" w:eastAsia="Batang" w:hAnsi="Times" w:cs="Times New Roman"/>
                <w:color w:val="000000" w:themeColor="text1"/>
                <w:sz w:val="20"/>
                <w:szCs w:val="18"/>
                <w:lang w:eastAsia="x-none"/>
              </w:rPr>
            </w:pPr>
            <w:r w:rsidRPr="00B47D04">
              <w:rPr>
                <w:rFonts w:ascii="Times" w:eastAsia="Batang" w:hAnsi="Times" w:cs="Times New Roman"/>
                <w:color w:val="000000" w:themeColor="text1"/>
                <w:sz w:val="20"/>
                <w:szCs w:val="18"/>
                <w:lang w:eastAsia="x-none"/>
              </w:rPr>
              <w:t>The same UL transmit power is used for both the SBFD segment and non-SBFD segment of the PRACH.</w:t>
            </w:r>
          </w:p>
          <w:p w14:paraId="5425ADBA" w14:textId="77777777" w:rsidR="00B47D04" w:rsidRPr="00B47D04" w:rsidRDefault="00B47D04" w:rsidP="00F10D9A">
            <w:pPr>
              <w:widowControl w:val="0"/>
              <w:numPr>
                <w:ilvl w:val="0"/>
                <w:numId w:val="26"/>
              </w:numPr>
              <w:autoSpaceDE w:val="0"/>
              <w:autoSpaceDN w:val="0"/>
              <w:spacing w:after="0" w:line="240" w:lineRule="auto"/>
              <w:jc w:val="both"/>
              <w:rPr>
                <w:rFonts w:ascii="Times" w:eastAsia="Batang" w:hAnsi="Times" w:cs="Times New Roman"/>
                <w:color w:val="000000" w:themeColor="text1"/>
                <w:sz w:val="20"/>
                <w:szCs w:val="18"/>
                <w:lang w:eastAsia="x-none"/>
              </w:rPr>
            </w:pPr>
            <w:r w:rsidRPr="00B47D04">
              <w:rPr>
                <w:rFonts w:ascii="Times" w:eastAsia="Batang" w:hAnsi="Times" w:cs="Times New Roman"/>
                <w:color w:val="000000" w:themeColor="text1"/>
                <w:sz w:val="20"/>
                <w:szCs w:val="18"/>
                <w:lang w:eastAsia="x-none"/>
              </w:rPr>
              <w:t>The same UL spatial domain filter is used for both the SBFD segment and non-SBFD segment of the PRACH.</w:t>
            </w:r>
          </w:p>
          <w:p w14:paraId="44868EF6" w14:textId="77777777" w:rsidR="00B47D04" w:rsidRPr="00B47D04" w:rsidRDefault="00B47D04" w:rsidP="00F10D9A">
            <w:pPr>
              <w:widowControl w:val="0"/>
              <w:numPr>
                <w:ilvl w:val="0"/>
                <w:numId w:val="26"/>
              </w:numPr>
              <w:autoSpaceDE w:val="0"/>
              <w:autoSpaceDN w:val="0"/>
              <w:spacing w:after="0" w:line="240" w:lineRule="auto"/>
              <w:jc w:val="both"/>
              <w:rPr>
                <w:rFonts w:ascii="Times" w:eastAsia="Batang" w:hAnsi="Times" w:cs="Times New Roman"/>
                <w:color w:val="000000" w:themeColor="text1"/>
                <w:sz w:val="20"/>
                <w:szCs w:val="18"/>
                <w:lang w:eastAsia="x-none"/>
              </w:rPr>
            </w:pPr>
            <w:r w:rsidRPr="00B47D04">
              <w:rPr>
                <w:rFonts w:ascii="Times" w:eastAsia="Batang" w:hAnsi="Times" w:cs="Times New Roman"/>
                <w:color w:val="000000" w:themeColor="text1"/>
                <w:sz w:val="20"/>
                <w:szCs w:val="18"/>
                <w:lang w:eastAsia="x-none"/>
              </w:rPr>
              <w:t>UE doesn’t stop PRACH transmission in the transition period/gap (if any) between SBFD and non-SBFD symbols</w:t>
            </w:r>
          </w:p>
          <w:p w14:paraId="79275DC3" w14:textId="77777777" w:rsidR="00B47D04" w:rsidRPr="00B47D04" w:rsidRDefault="00B47D04" w:rsidP="00F10D9A">
            <w:pPr>
              <w:widowControl w:val="0"/>
              <w:numPr>
                <w:ilvl w:val="0"/>
                <w:numId w:val="26"/>
              </w:numPr>
              <w:autoSpaceDE w:val="0"/>
              <w:autoSpaceDN w:val="0"/>
              <w:spacing w:after="0" w:line="240" w:lineRule="auto"/>
              <w:jc w:val="both"/>
              <w:rPr>
                <w:rFonts w:ascii="Times" w:eastAsia="Batang" w:hAnsi="Times" w:cs="Times New Roman"/>
                <w:color w:val="000000" w:themeColor="text1"/>
                <w:sz w:val="20"/>
                <w:szCs w:val="18"/>
                <w:lang w:eastAsia="x-none"/>
              </w:rPr>
            </w:pPr>
            <w:r w:rsidRPr="00B47D04">
              <w:rPr>
                <w:rFonts w:ascii="Times" w:eastAsia="Batang" w:hAnsi="Times" w:cs="Times New Roman"/>
                <w:color w:val="000000" w:themeColor="text1"/>
                <w:sz w:val="20"/>
                <w:szCs w:val="18"/>
                <w:lang w:eastAsia="x-none"/>
              </w:rPr>
              <w:t>There are no phase coherency requirements on the UE between the SBFD segment and non-SBFD segment of the PRACH.</w:t>
            </w:r>
          </w:p>
          <w:p w14:paraId="7644FF57" w14:textId="77777777" w:rsidR="00B47D04" w:rsidRPr="00B47D04" w:rsidRDefault="00B47D04" w:rsidP="00F10D9A">
            <w:pPr>
              <w:widowControl w:val="0"/>
              <w:numPr>
                <w:ilvl w:val="0"/>
                <w:numId w:val="26"/>
              </w:numPr>
              <w:autoSpaceDE w:val="0"/>
              <w:autoSpaceDN w:val="0"/>
              <w:spacing w:after="0" w:line="240" w:lineRule="auto"/>
              <w:jc w:val="both"/>
              <w:rPr>
                <w:rFonts w:ascii="Times" w:eastAsia="Batang" w:hAnsi="Times" w:cs="Times New Roman"/>
                <w:color w:val="000000" w:themeColor="text1"/>
                <w:sz w:val="20"/>
                <w:szCs w:val="18"/>
                <w:lang w:eastAsia="x-none"/>
              </w:rPr>
            </w:pPr>
            <w:r w:rsidRPr="00B47D04">
              <w:rPr>
                <w:rFonts w:ascii="Times" w:eastAsia="Batang" w:hAnsi="Times" w:cs="Times New Roman"/>
                <w:color w:val="000000" w:themeColor="text1"/>
                <w:sz w:val="20"/>
                <w:szCs w:val="18"/>
                <w:lang w:eastAsia="x-none"/>
              </w:rPr>
              <w:t>Other assumptions are not precluded.</w:t>
            </w:r>
          </w:p>
          <w:p w14:paraId="38079E03" w14:textId="7B312E9B" w:rsidR="00B47D04" w:rsidRPr="00B47D04" w:rsidRDefault="00B47D04" w:rsidP="00F10D9A">
            <w:pPr>
              <w:spacing w:line="240" w:lineRule="auto"/>
              <w:jc w:val="both"/>
              <w:rPr>
                <w:rFonts w:ascii="Times" w:eastAsia="Batang" w:hAnsi="Times" w:cs="Times New Roman"/>
                <w:color w:val="000000" w:themeColor="text1"/>
                <w:sz w:val="20"/>
                <w:szCs w:val="18"/>
                <w:lang w:val="en-GB"/>
              </w:rPr>
            </w:pPr>
            <w:r w:rsidRPr="00B47D04">
              <w:rPr>
                <w:rFonts w:ascii="Times" w:eastAsia="Batang" w:hAnsi="Times" w:cs="Times New Roman"/>
                <w:color w:val="000000" w:themeColor="text1"/>
                <w:sz w:val="20"/>
                <w:szCs w:val="18"/>
                <w:lang w:val="en-GB"/>
              </w:rPr>
              <w:t>NOTE: For FR2, network may need to ensure that the additional-RO and the legacy RO, which overlap with each other in time domain, are mapped to the same SSB.</w:t>
            </w:r>
          </w:p>
        </w:tc>
      </w:tr>
    </w:tbl>
    <w:p w14:paraId="129F8F3A" w14:textId="77777777" w:rsidR="00B47D04" w:rsidRDefault="00B47D04" w:rsidP="00F10D9A">
      <w:pPr>
        <w:jc w:val="both"/>
        <w:rPr>
          <w:lang w:val="en-GB" w:eastAsia="ja-JP"/>
        </w:rPr>
      </w:pPr>
    </w:p>
    <w:p w14:paraId="0024592D" w14:textId="33A37DCC" w:rsidR="00B47D04" w:rsidRDefault="00250638" w:rsidP="00F10D9A">
      <w:pPr>
        <w:jc w:val="both"/>
        <w:rPr>
          <w:lang w:eastAsia="ja-JP"/>
        </w:rPr>
      </w:pPr>
      <w:r w:rsidRPr="00BD51BB">
        <w:rPr>
          <w:lang w:eastAsia="ja-JP"/>
        </w:rPr>
        <w:t>The topic of ROs across SBFD and non-SBFD symbols have been discussed in contributions and offline</w:t>
      </w:r>
      <w:r>
        <w:rPr>
          <w:lang w:eastAsia="ja-JP"/>
        </w:rPr>
        <w:t xml:space="preserve"> during the meeting</w:t>
      </w:r>
      <w:r w:rsidRPr="00BD51BB">
        <w:rPr>
          <w:lang w:eastAsia="ja-JP"/>
        </w:rPr>
        <w:t>. The remaining issue is where to allow a UE to reconfigure it radio in case first transmitting a PRACH preamble and then immediately after being scheduled with, e.g., a PUSCH.</w:t>
      </w:r>
    </w:p>
    <w:p w14:paraId="1FFDD259" w14:textId="77777777" w:rsidR="00250638" w:rsidRPr="00BD51BB" w:rsidRDefault="00250638" w:rsidP="00F10D9A">
      <w:pPr>
        <w:jc w:val="both"/>
      </w:pPr>
      <w:r w:rsidRPr="00BD51BB">
        <w:t xml:space="preserve">According to the RAN4 agreement, the symbols preceding the UL symbols are considered for the transient/guard period. In our understanding, a gNB requiring reconfiguring parts of its carrier will reconfigure </w:t>
      </w:r>
      <w:proofErr w:type="gramStart"/>
      <w:r w:rsidRPr="00BD51BB">
        <w:t>all of</w:t>
      </w:r>
      <w:proofErr w:type="gramEnd"/>
      <w:r w:rsidRPr="00BD51BB">
        <w:t xml:space="preserve"> its carrier, why the restriction to DL subbands is hypothetical. Regardless, for a gNB implementation where the guard period is restricted to the DL subbands, there is no problem for the gNB to anyway disregard a PRACH preamble for the guard period. Hence, since the guard period is unambiguously specified, a UE can use it for any necessary UL bandwidth reconfiguration, should the need arise. Consequently, a UE is not expected to transmit a PRACH preamble across SBFD and non-SBFD symbols during the guard period immediately preceding UL symbols.</w:t>
      </w:r>
    </w:p>
    <w:p w14:paraId="677B6CD5" w14:textId="051050E1" w:rsidR="00250638" w:rsidRPr="00BD51BB" w:rsidRDefault="00250638" w:rsidP="00F10D9A">
      <w:pPr>
        <w:pStyle w:val="Observation"/>
      </w:pPr>
      <w:bookmarkStart w:id="8" w:name="_Toc197088515"/>
      <w:bookmarkStart w:id="9" w:name="_Toc197723180"/>
      <w:r w:rsidRPr="00BD51BB">
        <w:t xml:space="preserve">Since RAN4 has agreed on explicit and unambiguous guard periods, </w:t>
      </w:r>
      <w:r w:rsidR="000609FF">
        <w:t xml:space="preserve">it is convenient if </w:t>
      </w:r>
      <w:r w:rsidRPr="00BD51BB">
        <w:t>a UE leverage</w:t>
      </w:r>
      <w:r w:rsidR="000609FF">
        <w:t>s</w:t>
      </w:r>
      <w:r w:rsidRPr="00BD51BB">
        <w:t xml:space="preserve"> the same guard period for its own reconfiguration.</w:t>
      </w:r>
      <w:bookmarkEnd w:id="8"/>
      <w:bookmarkEnd w:id="9"/>
    </w:p>
    <w:p w14:paraId="5EDF7CB7" w14:textId="3178344E" w:rsidR="00D46FEB" w:rsidRPr="00250638" w:rsidRDefault="00250638" w:rsidP="00F10D9A">
      <w:pPr>
        <w:pStyle w:val="Proposal"/>
        <w:rPr>
          <w:lang w:val="en-GB"/>
        </w:rPr>
      </w:pPr>
      <w:bookmarkStart w:id="10" w:name="_Toc197088527"/>
      <w:bookmarkStart w:id="11" w:name="_Toc197723182"/>
      <w:r>
        <w:t>I</w:t>
      </w:r>
      <w:r w:rsidRPr="00BD51BB">
        <w:t>n an RO across SBFD and non-SBFD symbols</w:t>
      </w:r>
      <w:r>
        <w:t>, a</w:t>
      </w:r>
      <w:r w:rsidRPr="00BD51BB">
        <w:t xml:space="preserve"> UE is not expected to transmit a PRACH</w:t>
      </w:r>
      <w:r>
        <w:t xml:space="preserve"> preamble</w:t>
      </w:r>
      <w:r w:rsidRPr="00BD51BB">
        <w:t xml:space="preserve"> in the guard</w:t>
      </w:r>
      <w:r>
        <w:t xml:space="preserve"> (transient)</w:t>
      </w:r>
      <w:r w:rsidRPr="00BD51BB">
        <w:t xml:space="preserve"> period immediately preceding UL symbols.</w:t>
      </w:r>
      <w:bookmarkEnd w:id="10"/>
      <w:bookmarkEnd w:id="11"/>
    </w:p>
    <w:p w14:paraId="37EB5693" w14:textId="77777777" w:rsidR="00C01F33" w:rsidRPr="00CE0424" w:rsidRDefault="00C01F33" w:rsidP="00F10D9A">
      <w:pPr>
        <w:pStyle w:val="Heading1"/>
        <w:jc w:val="both"/>
      </w:pPr>
      <w:r w:rsidRPr="00CE0424">
        <w:t>Conclusion</w:t>
      </w:r>
    </w:p>
    <w:p w14:paraId="5A650F21" w14:textId="77777777" w:rsidR="008E065E" w:rsidRDefault="008E065E" w:rsidP="00F10D9A">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27D67A1" w14:textId="30D59F5D" w:rsidR="00CE1823" w:rsidRDefault="006F65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723179" w:history="1">
        <w:r w:rsidR="00CE1823" w:rsidRPr="00ED24ED">
          <w:rPr>
            <w:rStyle w:val="Hyperlink"/>
            <w:noProof/>
          </w:rPr>
          <w:t>Observation 1</w:t>
        </w:r>
        <w:r w:rsidR="00CE1823">
          <w:rPr>
            <w:rFonts w:asciiTheme="minorHAnsi" w:eastAsiaTheme="minorEastAsia" w:hAnsiTheme="minorHAnsi"/>
            <w:b w:val="0"/>
            <w:noProof/>
            <w:kern w:val="2"/>
            <w:sz w:val="24"/>
            <w:szCs w:val="24"/>
            <w:lang w:val="en-SE" w:eastAsia="ja-JP"/>
            <w14:ligatures w14:val="standardContextual"/>
          </w:rPr>
          <w:tab/>
        </w:r>
        <w:r w:rsidR="00CE1823" w:rsidRPr="00ED24ED">
          <w:rPr>
            <w:rStyle w:val="Hyperlink"/>
            <w:noProof/>
          </w:rPr>
          <w:t>For interference reasons, it would be beneficial to separate DL and UL spectrum in the intersection between DL and SBFD symbols, i.e., to introduce a guard band in the first symbol(s) of the UL subband.</w:t>
        </w:r>
      </w:hyperlink>
    </w:p>
    <w:p w14:paraId="2FFD73A4" w14:textId="1996CD0C" w:rsidR="00CE1823" w:rsidRDefault="00CE1823">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3180" w:history="1">
        <w:r w:rsidRPr="00ED24ED">
          <w:rPr>
            <w:rStyle w:val="Hyperlink"/>
            <w:noProof/>
          </w:rPr>
          <w:t>Observation 2</w:t>
        </w:r>
        <w:r>
          <w:rPr>
            <w:rFonts w:asciiTheme="minorHAnsi" w:eastAsiaTheme="minorEastAsia" w:hAnsiTheme="minorHAnsi"/>
            <w:b w:val="0"/>
            <w:noProof/>
            <w:kern w:val="2"/>
            <w:sz w:val="24"/>
            <w:szCs w:val="24"/>
            <w:lang w:val="en-SE" w:eastAsia="ja-JP"/>
            <w14:ligatures w14:val="standardContextual"/>
          </w:rPr>
          <w:tab/>
        </w:r>
        <w:r w:rsidRPr="00ED24ED">
          <w:rPr>
            <w:rStyle w:val="Hyperlink"/>
            <w:noProof/>
          </w:rPr>
          <w:t>Since RAN4 has agreed on explicit and unambiguous guard periods, it is convenient if a UE leverages the same guard period for its own reconfiguration.</w:t>
        </w:r>
      </w:hyperlink>
    </w:p>
    <w:p w14:paraId="7D91EC5D" w14:textId="294A207D" w:rsidR="006E1C82" w:rsidRDefault="006F6582" w:rsidP="00F10D9A">
      <w:pPr>
        <w:pStyle w:val="BodyText"/>
        <w:rPr>
          <w:b/>
          <w:bCs/>
        </w:rPr>
      </w:pPr>
      <w:r>
        <w:rPr>
          <w:b/>
          <w:bCs/>
        </w:rPr>
        <w:fldChar w:fldCharType="end"/>
      </w:r>
    </w:p>
    <w:p w14:paraId="6225A1B8" w14:textId="77777777" w:rsidR="006E1C82" w:rsidRDefault="008E065E" w:rsidP="00F10D9A">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2A55420" w14:textId="77777777" w:rsidR="00CE1823" w:rsidRDefault="006E1C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723181" w:history="1">
        <w:r w:rsidR="00CE1823" w:rsidRPr="00FA4BA3">
          <w:rPr>
            <w:rStyle w:val="Hyperlink"/>
            <w:noProof/>
            <w:lang w:val="en-GB" w:eastAsia="ja-JP"/>
          </w:rPr>
          <w:t>Proposal 1</w:t>
        </w:r>
        <w:r w:rsidR="00CE1823">
          <w:rPr>
            <w:rFonts w:asciiTheme="minorHAnsi" w:eastAsiaTheme="minorEastAsia" w:hAnsiTheme="minorHAnsi"/>
            <w:b w:val="0"/>
            <w:noProof/>
            <w:kern w:val="2"/>
            <w:sz w:val="24"/>
            <w:szCs w:val="24"/>
            <w:lang w:val="en-SE" w:eastAsia="ja-JP"/>
            <w14:ligatures w14:val="standardContextual"/>
          </w:rPr>
          <w:tab/>
        </w:r>
        <w:r w:rsidR="00CE1823" w:rsidRPr="00FA4BA3">
          <w:rPr>
            <w:rStyle w:val="Hyperlink"/>
            <w:noProof/>
          </w:rPr>
          <w:t>Introduce a guard subband in the first symbol(s) of the UL subband. FFS: guard subband duration.</w:t>
        </w:r>
      </w:hyperlink>
    </w:p>
    <w:p w14:paraId="6B990D5D" w14:textId="77777777" w:rsidR="00CE1823" w:rsidRDefault="00CE1823">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3182" w:history="1">
        <w:r w:rsidRPr="00FA4BA3">
          <w:rPr>
            <w:rStyle w:val="Hyperlink"/>
            <w:noProof/>
            <w:lang w:val="en-GB"/>
          </w:rPr>
          <w:t>Proposal 2</w:t>
        </w:r>
        <w:r>
          <w:rPr>
            <w:rFonts w:asciiTheme="minorHAnsi" w:eastAsiaTheme="minorEastAsia" w:hAnsiTheme="minorHAnsi"/>
            <w:b w:val="0"/>
            <w:noProof/>
            <w:kern w:val="2"/>
            <w:sz w:val="24"/>
            <w:szCs w:val="24"/>
            <w:lang w:val="en-SE" w:eastAsia="ja-JP"/>
            <w14:ligatures w14:val="standardContextual"/>
          </w:rPr>
          <w:tab/>
        </w:r>
        <w:r w:rsidRPr="00FA4BA3">
          <w:rPr>
            <w:rStyle w:val="Hyperlink"/>
            <w:noProof/>
          </w:rPr>
          <w:t>In an RO across SBFD and non-SBFD symbols, a UE is not expected to transmit a PRACH preamble in the guard (transient) period immediately preceding UL symbols.</w:t>
        </w:r>
      </w:hyperlink>
    </w:p>
    <w:p w14:paraId="58ACA235" w14:textId="69A29C66" w:rsidR="00C01F33" w:rsidRPr="00D46FEB" w:rsidRDefault="006E1C82" w:rsidP="00467ACF">
      <w:pPr>
        <w:pStyle w:val="TableofFigures"/>
        <w:tabs>
          <w:tab w:val="right" w:leader="dot" w:pos="9629"/>
        </w:tabs>
        <w:rPr>
          <w:b w:val="0"/>
          <w:bCs/>
        </w:rPr>
      </w:pPr>
      <w:r>
        <w:rPr>
          <w:b w:val="0"/>
          <w:bCs/>
        </w:rPr>
        <w:fldChar w:fldCharType="end"/>
      </w:r>
    </w:p>
    <w:p w14:paraId="71D79D99" w14:textId="77777777" w:rsidR="00F507D1" w:rsidRPr="00CE0424" w:rsidRDefault="00F507D1" w:rsidP="00F10D9A">
      <w:pPr>
        <w:pStyle w:val="Heading1"/>
        <w:jc w:val="both"/>
      </w:pPr>
      <w:bookmarkStart w:id="12" w:name="_In-sequence_SDU_delivery"/>
      <w:bookmarkEnd w:id="12"/>
      <w:r w:rsidRPr="00CE0424">
        <w:t>References</w:t>
      </w:r>
    </w:p>
    <w:p w14:paraId="715CA09B" w14:textId="7B93A6D9" w:rsidR="003A7EF3" w:rsidRDefault="00AE4A6F" w:rsidP="00F10D9A">
      <w:pPr>
        <w:pStyle w:val="Reference"/>
      </w:pPr>
      <w:bookmarkStart w:id="13" w:name="_Ref174151459"/>
      <w:bookmarkStart w:id="14" w:name="_Ref189809556"/>
      <w:r w:rsidRPr="00AE4A6F">
        <w:t>R1-2503213</w:t>
      </w:r>
      <w:r>
        <w:t xml:space="preserve"> (</w:t>
      </w:r>
      <w:r w:rsidRPr="00BD51BB">
        <w:t>R4-2504767</w:t>
      </w:r>
      <w:r>
        <w:t>), “</w:t>
      </w:r>
      <w:r w:rsidRPr="00AE4A6F">
        <w:t>LS on the transient period for SBFD operation</w:t>
      </w:r>
      <w:r>
        <w:t>,”</w:t>
      </w:r>
      <w:r w:rsidR="005F3025" w:rsidRPr="00CE0424">
        <w:t xml:space="preserve"> </w:t>
      </w:r>
      <w:r>
        <w:t>RAN4, Samsung, RAN1</w:t>
      </w:r>
      <w:r w:rsidR="00A8789A">
        <w:t> </w:t>
      </w:r>
      <w:r>
        <w:t>#121</w:t>
      </w:r>
      <w:r w:rsidR="005F3025" w:rsidRPr="00CE0424">
        <w:t xml:space="preserve">, </w:t>
      </w:r>
      <w:r>
        <w:t>May 2025.</w:t>
      </w:r>
      <w:bookmarkEnd w:id="13"/>
      <w:bookmarkEnd w:id="14"/>
    </w:p>
    <w:p w14:paraId="61C800BB" w14:textId="74EA7EEF" w:rsidR="00A8789A" w:rsidRPr="00CE0424" w:rsidRDefault="00A8789A" w:rsidP="00F10D9A">
      <w:pPr>
        <w:pStyle w:val="Reference"/>
      </w:pPr>
      <w:bookmarkStart w:id="15" w:name="_Ref189639965"/>
      <w:r w:rsidRPr="004820F2">
        <w:rPr>
          <w:rFonts w:eastAsia="Batang" w:cs="Arial"/>
        </w:rPr>
        <w:t>R1-2405782, “Report of RAN1#117 meeting,” ETSI MCC, v 1.0.0, RAN1 #118, August 2024.</w:t>
      </w:r>
      <w:bookmarkEnd w:id="15"/>
    </w:p>
    <w:sectPr w:rsidR="00A8789A"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E1042" w14:textId="77777777" w:rsidR="009F2B91" w:rsidRDefault="009F2B91">
      <w:r>
        <w:separator/>
      </w:r>
    </w:p>
  </w:endnote>
  <w:endnote w:type="continuationSeparator" w:id="0">
    <w:p w14:paraId="7337E987" w14:textId="77777777" w:rsidR="009F2B91" w:rsidRDefault="009F2B91">
      <w:r>
        <w:continuationSeparator/>
      </w:r>
    </w:p>
  </w:endnote>
  <w:endnote w:type="continuationNotice" w:id="1">
    <w:p w14:paraId="7848F47A" w14:textId="77777777" w:rsidR="009F2B91" w:rsidRDefault="009F2B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AD457" w14:textId="77777777" w:rsidR="009F2B91" w:rsidRDefault="009F2B91">
      <w:r>
        <w:separator/>
      </w:r>
    </w:p>
  </w:footnote>
  <w:footnote w:type="continuationSeparator" w:id="0">
    <w:p w14:paraId="0EBFC793" w14:textId="77777777" w:rsidR="009F2B91" w:rsidRDefault="009F2B91">
      <w:r>
        <w:continuationSeparator/>
      </w:r>
    </w:p>
  </w:footnote>
  <w:footnote w:type="continuationNotice" w:id="1">
    <w:p w14:paraId="41DDBACC" w14:textId="77777777" w:rsidR="009F2B91" w:rsidRDefault="009F2B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C51EC"/>
    <w:multiLevelType w:val="hybridMultilevel"/>
    <w:tmpl w:val="1BEECC1E"/>
    <w:lvl w:ilvl="0" w:tplc="10B07ABC">
      <w:start w:val="1"/>
      <w:numFmt w:val="decimal"/>
      <w:lvlText w:val="%1."/>
      <w:lvlJc w:val="left"/>
      <w:pPr>
        <w:ind w:left="720" w:hanging="360"/>
      </w:pPr>
      <w:rPr>
        <w:rFonts w:ascii="Arial" w:hAnsi="Arial"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7C3178"/>
    <w:multiLevelType w:val="multilevel"/>
    <w:tmpl w:val="357638B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B3247C"/>
    <w:multiLevelType w:val="hybridMultilevel"/>
    <w:tmpl w:val="C30635AA"/>
    <w:lvl w:ilvl="0" w:tplc="A880AF6E">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19758996">
    <w:abstractNumId w:val="3"/>
  </w:num>
  <w:num w:numId="2" w16cid:durableId="355155966">
    <w:abstractNumId w:val="17"/>
  </w:num>
  <w:num w:numId="3" w16cid:durableId="1913851990">
    <w:abstractNumId w:val="13"/>
  </w:num>
  <w:num w:numId="4" w16cid:durableId="2090736220">
    <w:abstractNumId w:val="14"/>
  </w:num>
  <w:num w:numId="5" w16cid:durableId="674647555">
    <w:abstractNumId w:val="10"/>
  </w:num>
  <w:num w:numId="6" w16cid:durableId="1498110781">
    <w:abstractNumId w:val="16"/>
  </w:num>
  <w:num w:numId="7" w16cid:durableId="1084961623">
    <w:abstractNumId w:val="21"/>
  </w:num>
  <w:num w:numId="8" w16cid:durableId="2086880802">
    <w:abstractNumId w:val="11"/>
  </w:num>
  <w:num w:numId="9" w16cid:durableId="1576015632">
    <w:abstractNumId w:val="8"/>
  </w:num>
  <w:num w:numId="10" w16cid:durableId="2126541449">
    <w:abstractNumId w:val="2"/>
  </w:num>
  <w:num w:numId="11" w16cid:durableId="693337342">
    <w:abstractNumId w:val="1"/>
  </w:num>
  <w:num w:numId="12" w16cid:durableId="1916816155">
    <w:abstractNumId w:val="0"/>
  </w:num>
  <w:num w:numId="13" w16cid:durableId="1591889704">
    <w:abstractNumId w:val="18"/>
  </w:num>
  <w:num w:numId="14" w16cid:durableId="16199632">
    <w:abstractNumId w:val="19"/>
  </w:num>
  <w:num w:numId="15" w16cid:durableId="298389984">
    <w:abstractNumId w:val="15"/>
  </w:num>
  <w:num w:numId="16" w16cid:durableId="1337730544">
    <w:abstractNumId w:val="23"/>
  </w:num>
  <w:num w:numId="17" w16cid:durableId="561411510">
    <w:abstractNumId w:val="5"/>
  </w:num>
  <w:num w:numId="18" w16cid:durableId="1204906343">
    <w:abstractNumId w:val="7"/>
  </w:num>
  <w:num w:numId="19" w16cid:durableId="578713189">
    <w:abstractNumId w:val="4"/>
  </w:num>
  <w:num w:numId="20" w16cid:durableId="1661736935">
    <w:abstractNumId w:val="27"/>
  </w:num>
  <w:num w:numId="21" w16cid:durableId="1200509507">
    <w:abstractNumId w:val="12"/>
  </w:num>
  <w:num w:numId="22" w16cid:durableId="1050613117">
    <w:abstractNumId w:val="26"/>
  </w:num>
  <w:num w:numId="23" w16cid:durableId="305624043">
    <w:abstractNumId w:val="25"/>
  </w:num>
  <w:num w:numId="24" w16cid:durableId="1867131685">
    <w:abstractNumId w:val="20"/>
  </w:num>
  <w:num w:numId="25" w16cid:durableId="866064961">
    <w:abstractNumId w:val="28"/>
  </w:num>
  <w:num w:numId="26" w16cid:durableId="808133086">
    <w:abstractNumId w:val="9"/>
  </w:num>
  <w:num w:numId="27" w16cid:durableId="950746092">
    <w:abstractNumId w:val="24"/>
  </w:num>
  <w:num w:numId="28" w16cid:durableId="1202279870">
    <w:abstractNumId w:val="22"/>
  </w:num>
  <w:num w:numId="29" w16cid:durableId="1168986797">
    <w:abstractNumId w:val="6"/>
  </w:num>
  <w:num w:numId="30" w16cid:durableId="76639208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87C"/>
    <w:rsid w:val="0005606A"/>
    <w:rsid w:val="00057117"/>
    <w:rsid w:val="000609FF"/>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5A2"/>
    <w:rsid w:val="00151E23"/>
    <w:rsid w:val="001526E0"/>
    <w:rsid w:val="001551B5"/>
    <w:rsid w:val="001659C1"/>
    <w:rsid w:val="00173A8E"/>
    <w:rsid w:val="0017502C"/>
    <w:rsid w:val="0018143F"/>
    <w:rsid w:val="00181FF8"/>
    <w:rsid w:val="00190AC1"/>
    <w:rsid w:val="0019341A"/>
    <w:rsid w:val="00197DF9"/>
    <w:rsid w:val="001A1987"/>
    <w:rsid w:val="001A2564"/>
    <w:rsid w:val="001A4228"/>
    <w:rsid w:val="001A6173"/>
    <w:rsid w:val="001A6CBA"/>
    <w:rsid w:val="001B0D97"/>
    <w:rsid w:val="001B5A5D"/>
    <w:rsid w:val="001C1CE5"/>
    <w:rsid w:val="001C3D2A"/>
    <w:rsid w:val="001C4CD9"/>
    <w:rsid w:val="001D51BA"/>
    <w:rsid w:val="001D53E7"/>
    <w:rsid w:val="001D6342"/>
    <w:rsid w:val="001D6D53"/>
    <w:rsid w:val="001E58E2"/>
    <w:rsid w:val="001E7AED"/>
    <w:rsid w:val="001F3916"/>
    <w:rsid w:val="001F54C5"/>
    <w:rsid w:val="001F662C"/>
    <w:rsid w:val="001F7074"/>
    <w:rsid w:val="00200490"/>
    <w:rsid w:val="00201F3A"/>
    <w:rsid w:val="00203F96"/>
    <w:rsid w:val="00203FD1"/>
    <w:rsid w:val="002069B2"/>
    <w:rsid w:val="00207FA3"/>
    <w:rsid w:val="00214DA8"/>
    <w:rsid w:val="00215423"/>
    <w:rsid w:val="002158FA"/>
    <w:rsid w:val="00220600"/>
    <w:rsid w:val="002224DB"/>
    <w:rsid w:val="00223FCB"/>
    <w:rsid w:val="002252C3"/>
    <w:rsid w:val="00225C54"/>
    <w:rsid w:val="00230765"/>
    <w:rsid w:val="00230D18"/>
    <w:rsid w:val="002319E4"/>
    <w:rsid w:val="002337F2"/>
    <w:rsid w:val="00235632"/>
    <w:rsid w:val="00235872"/>
    <w:rsid w:val="00241559"/>
    <w:rsid w:val="002435B3"/>
    <w:rsid w:val="002458EB"/>
    <w:rsid w:val="00247CA3"/>
    <w:rsid w:val="002500C8"/>
    <w:rsid w:val="0025063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3C16"/>
    <w:rsid w:val="0030501F"/>
    <w:rsid w:val="00307BA1"/>
    <w:rsid w:val="00307EFD"/>
    <w:rsid w:val="00311702"/>
    <w:rsid w:val="00311E82"/>
    <w:rsid w:val="00313FD6"/>
    <w:rsid w:val="003143BD"/>
    <w:rsid w:val="00315363"/>
    <w:rsid w:val="0031618F"/>
    <w:rsid w:val="003203ED"/>
    <w:rsid w:val="00322C9F"/>
    <w:rsid w:val="00324D23"/>
    <w:rsid w:val="00325D20"/>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53C"/>
    <w:rsid w:val="00437447"/>
    <w:rsid w:val="00440EF7"/>
    <w:rsid w:val="00441A92"/>
    <w:rsid w:val="004431DC"/>
    <w:rsid w:val="00444F56"/>
    <w:rsid w:val="00445EC1"/>
    <w:rsid w:val="00446488"/>
    <w:rsid w:val="004517AA"/>
    <w:rsid w:val="00452CAC"/>
    <w:rsid w:val="00457565"/>
    <w:rsid w:val="00457B71"/>
    <w:rsid w:val="004633C3"/>
    <w:rsid w:val="00464689"/>
    <w:rsid w:val="004669E2"/>
    <w:rsid w:val="00467ACF"/>
    <w:rsid w:val="00470C31"/>
    <w:rsid w:val="0047116E"/>
    <w:rsid w:val="00471DE0"/>
    <w:rsid w:val="004734D0"/>
    <w:rsid w:val="0047556B"/>
    <w:rsid w:val="00477768"/>
    <w:rsid w:val="00480353"/>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38D"/>
    <w:rsid w:val="005219CF"/>
    <w:rsid w:val="00534B59"/>
    <w:rsid w:val="00536759"/>
    <w:rsid w:val="00537C62"/>
    <w:rsid w:val="00546970"/>
    <w:rsid w:val="00554E19"/>
    <w:rsid w:val="0056121F"/>
    <w:rsid w:val="005723E8"/>
    <w:rsid w:val="00572505"/>
    <w:rsid w:val="0057457B"/>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C6F"/>
    <w:rsid w:val="005C74FB"/>
    <w:rsid w:val="005D1602"/>
    <w:rsid w:val="005E385F"/>
    <w:rsid w:val="005E5B81"/>
    <w:rsid w:val="005F2CB1"/>
    <w:rsid w:val="005F3025"/>
    <w:rsid w:val="005F5911"/>
    <w:rsid w:val="005F618C"/>
    <w:rsid w:val="005F70BD"/>
    <w:rsid w:val="00601F47"/>
    <w:rsid w:val="0060283C"/>
    <w:rsid w:val="00604F14"/>
    <w:rsid w:val="00611B83"/>
    <w:rsid w:val="00613257"/>
    <w:rsid w:val="00620A71"/>
    <w:rsid w:val="00620D80"/>
    <w:rsid w:val="006234A6"/>
    <w:rsid w:val="00630001"/>
    <w:rsid w:val="00630A7C"/>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A7F4D"/>
    <w:rsid w:val="006B1816"/>
    <w:rsid w:val="006B2099"/>
    <w:rsid w:val="006B50CF"/>
    <w:rsid w:val="006C03B8"/>
    <w:rsid w:val="006C1EF6"/>
    <w:rsid w:val="006C3E20"/>
    <w:rsid w:val="006C5EC9"/>
    <w:rsid w:val="006C6059"/>
    <w:rsid w:val="006C7522"/>
    <w:rsid w:val="006D3369"/>
    <w:rsid w:val="006D6F08"/>
    <w:rsid w:val="006E062C"/>
    <w:rsid w:val="006E121C"/>
    <w:rsid w:val="006E13D6"/>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4B4E"/>
    <w:rsid w:val="00715B9A"/>
    <w:rsid w:val="00721B32"/>
    <w:rsid w:val="007257D0"/>
    <w:rsid w:val="00726EA6"/>
    <w:rsid w:val="00727208"/>
    <w:rsid w:val="007272D6"/>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F2B"/>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11C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D5A"/>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1C8"/>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30C"/>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29D3"/>
    <w:rsid w:val="009E35DB"/>
    <w:rsid w:val="009E47A3"/>
    <w:rsid w:val="009F08F3"/>
    <w:rsid w:val="009F2B91"/>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55B4"/>
    <w:rsid w:val="00A56054"/>
    <w:rsid w:val="00A611BC"/>
    <w:rsid w:val="00A61499"/>
    <w:rsid w:val="00A62A77"/>
    <w:rsid w:val="00A63483"/>
    <w:rsid w:val="00A657D7"/>
    <w:rsid w:val="00A65B0D"/>
    <w:rsid w:val="00A660AC"/>
    <w:rsid w:val="00A67E6C"/>
    <w:rsid w:val="00A71B99"/>
    <w:rsid w:val="00A739D0"/>
    <w:rsid w:val="00A761D4"/>
    <w:rsid w:val="00A77EC4"/>
    <w:rsid w:val="00A8789A"/>
    <w:rsid w:val="00A92879"/>
    <w:rsid w:val="00A9442A"/>
    <w:rsid w:val="00AA016F"/>
    <w:rsid w:val="00AA1ED6"/>
    <w:rsid w:val="00AA51D6"/>
    <w:rsid w:val="00AB0BC8"/>
    <w:rsid w:val="00AB11CA"/>
    <w:rsid w:val="00AB14D9"/>
    <w:rsid w:val="00AB4AB8"/>
    <w:rsid w:val="00AB655E"/>
    <w:rsid w:val="00AC007F"/>
    <w:rsid w:val="00AC22FB"/>
    <w:rsid w:val="00AC2ECD"/>
    <w:rsid w:val="00AC3119"/>
    <w:rsid w:val="00AC49FB"/>
    <w:rsid w:val="00AC5A10"/>
    <w:rsid w:val="00AD0AA3"/>
    <w:rsid w:val="00AD2ED0"/>
    <w:rsid w:val="00AD3F94"/>
    <w:rsid w:val="00AD4A5A"/>
    <w:rsid w:val="00AE27AC"/>
    <w:rsid w:val="00AE40E0"/>
    <w:rsid w:val="00AE4A6F"/>
    <w:rsid w:val="00AE4DBA"/>
    <w:rsid w:val="00AE4F07"/>
    <w:rsid w:val="00AE552A"/>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47D04"/>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97"/>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1823"/>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FEB"/>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44D"/>
    <w:rsid w:val="00DB377D"/>
    <w:rsid w:val="00DC2D36"/>
    <w:rsid w:val="00DC53EF"/>
    <w:rsid w:val="00DE5608"/>
    <w:rsid w:val="00DE58D0"/>
    <w:rsid w:val="00DE654F"/>
    <w:rsid w:val="00DF0B6E"/>
    <w:rsid w:val="00DF15E0"/>
    <w:rsid w:val="00DF37A0"/>
    <w:rsid w:val="00E110E7"/>
    <w:rsid w:val="00E11B20"/>
    <w:rsid w:val="00E17FA2"/>
    <w:rsid w:val="00E20EC4"/>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6D9"/>
    <w:rsid w:val="00E8234C"/>
    <w:rsid w:val="00E83AA9"/>
    <w:rsid w:val="00E85928"/>
    <w:rsid w:val="00E87822"/>
    <w:rsid w:val="00E902D6"/>
    <w:rsid w:val="00E90395"/>
    <w:rsid w:val="00E90E49"/>
    <w:rsid w:val="00E917F9"/>
    <w:rsid w:val="00E9291C"/>
    <w:rsid w:val="00E93FFE"/>
    <w:rsid w:val="00E94F8A"/>
    <w:rsid w:val="00EA7A41"/>
    <w:rsid w:val="00EB077B"/>
    <w:rsid w:val="00EB4EA2"/>
    <w:rsid w:val="00EC24D5"/>
    <w:rsid w:val="00EC27C6"/>
    <w:rsid w:val="00EC376D"/>
    <w:rsid w:val="00EC4207"/>
    <w:rsid w:val="00EC5653"/>
    <w:rsid w:val="00EC71CE"/>
    <w:rsid w:val="00ED1006"/>
    <w:rsid w:val="00EF18FE"/>
    <w:rsid w:val="00EF4B90"/>
    <w:rsid w:val="00EF5787"/>
    <w:rsid w:val="00EF60D0"/>
    <w:rsid w:val="00F0528D"/>
    <w:rsid w:val="00F06C67"/>
    <w:rsid w:val="00F06DFD"/>
    <w:rsid w:val="00F071D1"/>
    <w:rsid w:val="00F07533"/>
    <w:rsid w:val="00F10629"/>
    <w:rsid w:val="00F10D9A"/>
    <w:rsid w:val="00F15FA5"/>
    <w:rsid w:val="00F209B7"/>
    <w:rsid w:val="00F2376F"/>
    <w:rsid w:val="00F243D8"/>
    <w:rsid w:val="00F30828"/>
    <w:rsid w:val="00F313D6"/>
    <w:rsid w:val="00F40F0C"/>
    <w:rsid w:val="00F4766C"/>
    <w:rsid w:val="00F5060E"/>
    <w:rsid w:val="00F507D1"/>
    <w:rsid w:val="00F519CE"/>
    <w:rsid w:val="00F51A8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06B"/>
    <w:rsid w:val="00F8456C"/>
    <w:rsid w:val="00F859D8"/>
    <w:rsid w:val="00F868F5"/>
    <w:rsid w:val="00F9056A"/>
    <w:rsid w:val="00F90F8D"/>
    <w:rsid w:val="00F92782"/>
    <w:rsid w:val="00F93AA9"/>
    <w:rsid w:val="00F96985"/>
    <w:rsid w:val="00F97838"/>
    <w:rsid w:val="00FA2BB3"/>
    <w:rsid w:val="00FB3F0F"/>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65B0D"/>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6854">
      <w:bodyDiv w:val="1"/>
      <w:marLeft w:val="0"/>
      <w:marRight w:val="0"/>
      <w:marTop w:val="0"/>
      <w:marBottom w:val="0"/>
      <w:divBdr>
        <w:top w:val="none" w:sz="0" w:space="0" w:color="auto"/>
        <w:left w:val="none" w:sz="0" w:space="0" w:color="auto"/>
        <w:bottom w:val="none" w:sz="0" w:space="0" w:color="auto"/>
        <w:right w:val="none" w:sz="0" w:space="0" w:color="auto"/>
      </w:divBdr>
    </w:div>
    <w:div w:id="772670190">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7915122">
      <w:bodyDiv w:val="1"/>
      <w:marLeft w:val="0"/>
      <w:marRight w:val="0"/>
      <w:marTop w:val="0"/>
      <w:marBottom w:val="0"/>
      <w:divBdr>
        <w:top w:val="none" w:sz="0" w:space="0" w:color="auto"/>
        <w:left w:val="none" w:sz="0" w:space="0" w:color="auto"/>
        <w:bottom w:val="none" w:sz="0" w:space="0" w:color="auto"/>
        <w:right w:val="none" w:sz="0" w:space="0" w:color="auto"/>
      </w:divBdr>
    </w:div>
    <w:div w:id="1286547867">
      <w:bodyDiv w:val="1"/>
      <w:marLeft w:val="0"/>
      <w:marRight w:val="0"/>
      <w:marTop w:val="0"/>
      <w:marBottom w:val="0"/>
      <w:divBdr>
        <w:top w:val="none" w:sz="0" w:space="0" w:color="auto"/>
        <w:left w:val="none" w:sz="0" w:space="0" w:color="auto"/>
        <w:bottom w:val="none" w:sz="0" w:space="0" w:color="auto"/>
        <w:right w:val="none" w:sz="0" w:space="0" w:color="auto"/>
      </w:divBdr>
    </w:div>
    <w:div w:id="1303776088">
      <w:bodyDiv w:val="1"/>
      <w:marLeft w:val="0"/>
      <w:marRight w:val="0"/>
      <w:marTop w:val="0"/>
      <w:marBottom w:val="0"/>
      <w:divBdr>
        <w:top w:val="none" w:sz="0" w:space="0" w:color="auto"/>
        <w:left w:val="none" w:sz="0" w:space="0" w:color="auto"/>
        <w:bottom w:val="none" w:sz="0" w:space="0" w:color="auto"/>
        <w:right w:val="none" w:sz="0" w:space="0" w:color="auto"/>
      </w:divBdr>
    </w:div>
    <w:div w:id="1825311511">
      <w:bodyDiv w:val="1"/>
      <w:marLeft w:val="0"/>
      <w:marRight w:val="0"/>
      <w:marTop w:val="0"/>
      <w:marBottom w:val="0"/>
      <w:divBdr>
        <w:top w:val="none" w:sz="0" w:space="0" w:color="auto"/>
        <w:left w:val="none" w:sz="0" w:space="0" w:color="auto"/>
        <w:bottom w:val="none" w:sz="0" w:space="0" w:color="auto"/>
        <w:right w:val="none" w:sz="0" w:space="0" w:color="auto"/>
      </w:divBdr>
    </w:div>
    <w:div w:id="1883518340">
      <w:bodyDiv w:val="1"/>
      <w:marLeft w:val="0"/>
      <w:marRight w:val="0"/>
      <w:marTop w:val="0"/>
      <w:marBottom w:val="0"/>
      <w:divBdr>
        <w:top w:val="none" w:sz="0" w:space="0" w:color="auto"/>
        <w:left w:val="none" w:sz="0" w:space="0" w:color="auto"/>
        <w:bottom w:val="none" w:sz="0" w:space="0" w:color="auto"/>
        <w:right w:val="none" w:sz="0" w:space="0" w:color="auto"/>
      </w:divBdr>
    </w:div>
    <w:div w:id="213405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4239A86-5B5A-4270-B65E-FA01F367F3CD}">
  <ds:schemaRefs>
    <ds:schemaRef ds:uri="http://schemas.microsoft.com/sharepoint/v3/contenttype/forms"/>
  </ds:schemaRefs>
</ds:datastoreItem>
</file>

<file path=customXml/itemProps2.xml><?xml version="1.0" encoding="utf-8"?>
<ds:datastoreItem xmlns:ds="http://schemas.openxmlformats.org/officeDocument/2006/customXml" ds:itemID="{D55809EB-FBCD-4F77-8B84-019BFEC71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95C1B-B517-4A8D-A00C-2B247EB983BB}">
  <ds:schemaRefs>
    <ds:schemaRef ds:uri="http://schemas.openxmlformats.org/officeDocument/2006/bibliography"/>
  </ds:schemaRefs>
</ds:datastoreItem>
</file>

<file path=customXml/itemProps4.xml><?xml version="1.0" encoding="utf-8"?>
<ds:datastoreItem xmlns:ds="http://schemas.openxmlformats.org/officeDocument/2006/customXml" ds:itemID="{AA37FFC8-6AE7-4D12-A121-E9DA1AA26178}">
  <ds:schemaRefs>
    <ds:schemaRef ds:uri="http://purl.org/dc/dcmitype/"/>
    <ds:schemaRef ds:uri="http://schemas.microsoft.com/office/2006/metadata/properties"/>
    <ds:schemaRef ds:uri="d8762117-8292-4133-b1c7-eab5c6487cfd"/>
    <ds:schemaRef ds:uri="http://purl.org/dc/terms/"/>
    <ds:schemaRef ds:uri="http://schemas.microsoft.com/office/2006/documentManagement/types"/>
    <ds:schemaRef ds:uri="http://purl.org/dc/elements/1.1/"/>
    <ds:schemaRef ds:uri="http://schemas.microsoft.com/office/infopath/2007/PartnerControls"/>
    <ds:schemaRef ds:uri="9b239327-9e80-40e4-b1b7-4394fed77a33"/>
    <ds:schemaRef ds:uri="http://schemas.openxmlformats.org/package/2006/metadata/core-properties"/>
    <ds:schemaRef ds:uri="2f282d3b-eb4a-4b09-b61f-b9593442e286"/>
    <ds:schemaRef ds:uri="http://schemas.microsoft.com/sharepoint/v3"/>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1749</Words>
  <Characters>9975</Characters>
  <Application>Microsoft Office Word</Application>
  <DocSecurity>0</DocSecurity>
  <Lines>83</Lines>
  <Paragraphs>23</Paragraphs>
  <ScaleCrop>false</ScaleCrop>
  <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2025-05-09T18:23:00Z</dcterms:created>
  <dcterms:modified xsi:type="dcterms:W3CDTF">2025-05-09T20:46:00Z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5NUHHDQN7SK2-1476151046-563421</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3GPP|11111111-1111-1111-1111-111111111111;TDoc|af4b50c5-3c78-4293-b1bd-3e717d5b6882;Ericsson|11111111-1111-1111-1111-111111111111</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xd_Signature">
    <vt:bool>false</vt:bool>
  </property>
  <property fmtid="{D5CDD505-2E9C-101B-9397-08002B2CF9AE}" pid="25" name="EriCOLLProcess">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CompetenceTaxHTField0">
    <vt:lpwstr/>
  </property>
  <property fmtid="{D5CDD505-2E9C-101B-9397-08002B2CF9AE}" pid="30" name="_dlc_DocIdItemGuid">
    <vt:lpwstr>8a55f769-6b59-48e8-aa7c-b6379760fbcd</vt:lpwstr>
  </property>
  <property fmtid="{D5CDD505-2E9C-101B-9397-08002B2CF9AE}" pid="31" name="EriCOLLCustomerTaxHTField0">
    <vt:lpwstr/>
  </property>
</Properties>
</file>